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C2" w:rsidRDefault="00A401C2" w:rsidP="00A4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01C2" w:rsidRPr="00A401C2" w:rsidRDefault="00A401C2" w:rsidP="00A4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01C2" w:rsidRPr="00A401C2" w:rsidRDefault="00A401C2" w:rsidP="00A4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01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ЗАКЛЮЧЕНИЕ</w:t>
      </w:r>
      <w:r w:rsidRPr="00A401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счетной палаты Тульской области</w:t>
      </w:r>
      <w:r w:rsidRPr="00A401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на отчет об исполнении бюджета Тульской области</w:t>
      </w:r>
      <w:r w:rsidRPr="00A401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за первое полугодие 2017 года</w:t>
      </w:r>
    </w:p>
    <w:p w:rsidR="00A401C2" w:rsidRPr="00A401C2" w:rsidRDefault="00A401C2" w:rsidP="00A40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ru-RU"/>
        </w:rPr>
      </w:pPr>
    </w:p>
    <w:p w:rsidR="00A401C2" w:rsidRPr="00A401C2" w:rsidRDefault="00D93F93" w:rsidP="00A40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01C2"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етной палатой Тульской области </w:t>
      </w:r>
      <w:r w:rsidR="00A401C2"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 157 Бюджетного кодекса Российской Федерации и во исполнение статьи 29 Закона Тульской области от 09.06.2008 №1015-ЗТО «О бюджетном процессе в Тульской области», статьи 8 Закона Тульской области от 04.12.2008 №1147-ЗТО «О счетной палате Тульской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</w:t>
      </w:r>
      <w:r w:rsidRPr="00D93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на отчет об исполнении бюджета Тульской области за первое полугодие 2017 года</w:t>
      </w:r>
      <w:r w:rsidR="00A401C2"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01C2" w:rsidRPr="00A401C2" w:rsidRDefault="00A401C2" w:rsidP="00A40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заключения использованы отчеты Управления Федеральной налоговой службы России по Тульской области о начислении и поступлении налогов в бюджетную систему (форма №1-НМ), а также о задолженности по налогам, сборам и иным обязательным платежам (форма №4-НМ) по состоянию на 01.07.2017; статистическая отчетность за первое полугодие 2017 года территориального органа Федеральной службы государственной статистики по Тульской области.</w:t>
      </w:r>
    </w:p>
    <w:p w:rsidR="00A401C2" w:rsidRPr="00A401C2" w:rsidRDefault="00A401C2" w:rsidP="00A401C2">
      <w:pPr>
        <w:tabs>
          <w:tab w:val="num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в рамках своих полномочий Отчет, счетная палата отмечает следующее.</w:t>
      </w:r>
    </w:p>
    <w:p w:rsidR="00A401C2" w:rsidRPr="00A401C2" w:rsidRDefault="00A401C2" w:rsidP="00A401C2">
      <w:pPr>
        <w:numPr>
          <w:ilvl w:val="0"/>
          <w:numId w:val="30"/>
        </w:numPr>
        <w:tabs>
          <w:tab w:val="left" w:pos="709"/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Закон о бюджете области на 2017 год в первом полугодии 2017 года дважды внесены изменения: Законами Тульской области от 22.02.2017 № 12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noBreakHyphen/>
        <w:t xml:space="preserve">ЗТО, от 29.06.2017 №46-ЗТО. Основные параметры бюджета области на 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увеличены и составили:</w:t>
      </w:r>
    </w:p>
    <w:p w:rsidR="00A401C2" w:rsidRPr="00A401C2" w:rsidRDefault="00A401C2" w:rsidP="00A401C2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доходам – 66 508 724,0 тыс. рублей (увеличены на 5 653 471,1 тыс. рублей, или на 9,3% относительно первоначально утвержденного показателя);</w:t>
      </w:r>
    </w:p>
    <w:p w:rsidR="00A401C2" w:rsidRPr="00A401C2" w:rsidRDefault="00A401C2" w:rsidP="00A401C2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расходам – 71 641 711,2 тыс. рублей (увеличены на 5 653 471,1 тыс. рублей, или на 8,6%);</w:t>
      </w:r>
    </w:p>
    <w:p w:rsidR="00A401C2" w:rsidRPr="00A401C2" w:rsidRDefault="00A401C2" w:rsidP="00A401C2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дефицит – 5 132 987,2 тыс. рублей, или 9,6</w:t>
      </w:r>
      <w:r w:rsidRPr="00A4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A40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объему доходов бюджета области без учета утвержденного объема безвозмездных поступлений (в абсолютном выражении дефицит бюджета не изменялся, в относительном выражении уменьшился на 0,1 процентного пункта). </w:t>
      </w:r>
    </w:p>
    <w:p w:rsidR="00A401C2" w:rsidRPr="00A401C2" w:rsidRDefault="00A401C2" w:rsidP="00A401C2">
      <w:pPr>
        <w:numPr>
          <w:ilvl w:val="0"/>
          <w:numId w:val="30"/>
        </w:numPr>
        <w:tabs>
          <w:tab w:val="left" w:pos="1276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состоянию на 01.07.2016 </w:t>
      </w:r>
      <w:r w:rsidRPr="00A401C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консолидированный бюджет Тульской области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 по доходам в сумме 37 372 689,4 тыс. рублей (45,5% от плановых назначений); по расходам в сумме 38 651 742,2 тыс. рублей (42,3% от плановых назначений). В первом полугодии текущего года консолидированный бюджет Тульской области исполнен с превышением расходов над доходами (дефицитом) в сумме 1 279 052,8 тыс. рублей (4% к объему доходов бюджета области без учета утвержденного объема безвозмездных поступлений).</w:t>
      </w:r>
    </w:p>
    <w:p w:rsidR="00A401C2" w:rsidRPr="00A401C2" w:rsidRDefault="00A401C2" w:rsidP="00A401C2">
      <w:pPr>
        <w:numPr>
          <w:ilvl w:val="0"/>
          <w:numId w:val="30"/>
        </w:numPr>
        <w:tabs>
          <w:tab w:val="left" w:pos="1134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Бюджет Тульской области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первое полугодие 2017 года исполнен по доходам в сумме </w:t>
      </w:r>
      <w:r w:rsidRPr="00A40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30 386 837,7 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тыс. рублей (45,7% от объема доходов, утвержденного на 2017 год); по расходам в сумме 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30 240 290,1 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тыс. рублей 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(42,2% от объема расходов, утвержденного на 2017 год). По состоянию на 01.07.2017 превышение доходов над расходами составило 146 547,6 тыс. рублей.</w:t>
      </w:r>
    </w:p>
    <w:p w:rsidR="00A401C2" w:rsidRPr="00A401C2" w:rsidRDefault="00A401C2" w:rsidP="00A401C2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В первом полугодии 2017 года в доходы бюджета области поступило налоговых и неналоговых доходов в объеме 24 987 611,6 тыс. рублей, что составляет 46,7% к прогнозу поступлений 2017 года. По сравнению с соответствующим периодом прошлого года поступления налоговых и неналоговых доходов в целом 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 на 1 813 176,6 тыс. рублей, или на 7,8%, в основном за счет увеличения поступлений по налогу на прибыль организаций, налогу на доходы физических лиц.</w:t>
      </w:r>
    </w:p>
    <w:p w:rsidR="00A401C2" w:rsidRPr="00A401C2" w:rsidRDefault="00A401C2" w:rsidP="007449C8">
      <w:pPr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Недоимка по налогам и сборам по состояни</w:t>
      </w:r>
      <w:r w:rsidR="00D44E87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на 01.07.2017 составила 2 960 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766,0 тыс. рублей (за 2 кварт</w:t>
      </w:r>
      <w:r w:rsidR="00D44E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 2017 года сократилась на 883 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303,0 тыс. рублей, или на 23%), в том числе по региональным налогам и сборам – 885</w:t>
      </w:r>
      <w:r w:rsidR="00D44E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910,0 тыс. рублей (сократилась на 222 078,0 тыс. рублей, или на 20%).</w:t>
      </w:r>
    </w:p>
    <w:p w:rsidR="00A401C2" w:rsidRPr="00A401C2" w:rsidRDefault="00A401C2" w:rsidP="007449C8">
      <w:pPr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безвозмездных поступлений в бюджет области в первом полугодии 2017 года составил 5 399 226,1 тыс. рублей (41,5% к 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утвержденному показателю 2017 года). 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объем безвозмездных поступлений в целом </w:t>
      </w:r>
      <w:r w:rsidRPr="00A40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уменьшился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406 317,8 тыс. рублей, или на 7%. 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общем объеме доходов бюджета Тульской области доля безвозмездных поступлений составила 17,8%, что ниже показателя соответствующего периода 2016 года на 2,2 процентного пункта. </w:t>
      </w:r>
    </w:p>
    <w:p w:rsidR="00A401C2" w:rsidRPr="00A401C2" w:rsidRDefault="00A401C2" w:rsidP="00A401C2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федерального бюджета в бюджет области в первом полугодии поступило 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5 126 177,2</w:t>
      </w:r>
      <w:r w:rsidRPr="00A401C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тыс. рублей, что на 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281 274,5 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 (на 5,8%) больше, чем за аналогичный период 2016 года (увеличился объем дотаций на 591 087,0 тыс. рублей (на 70,4%) и субвенций на 19 570,8 тыс. рублей (на 0,7%); уменьшился объем субсидий на 172 586,4 тыс. рублей (на 20,2%) и иных межбюджетных трансфертов – на 156 796,9 тыс. рублей (на 79,8%).</w:t>
      </w:r>
    </w:p>
    <w:p w:rsidR="00A401C2" w:rsidRPr="00A401C2" w:rsidRDefault="00A401C2" w:rsidP="00A401C2">
      <w:pPr>
        <w:numPr>
          <w:ilvl w:val="0"/>
          <w:numId w:val="31"/>
        </w:numPr>
        <w:tabs>
          <w:tab w:val="left" w:pos="709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соответствующим периодом прошлого года расходы за отчетный период в целом увеличились на 715 339,1 тыс. рублей, или на 2,4%. Увеличение расходов отмечается по пяти из четырнадцати разделов бюджетной классификации расходов, из них наиболее значительное – по разделу 1000 «Социальная политика» (на 42%, или на 3 124 063,8 тыс. рублей). </w:t>
      </w:r>
    </w:p>
    <w:p w:rsidR="00A401C2" w:rsidRPr="00A401C2" w:rsidRDefault="00A401C2" w:rsidP="00A401C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Расходы, исполненные за счет средств федерального бюджета, в первом полугодии 2017 года составили 3 693 950,2 тыс. рублей, или 37,1% от общего объема ассигнований, предусмотренных Законом о бюджете области на 2017 год за счет средств федерального бюджета.</w:t>
      </w:r>
    </w:p>
    <w:p w:rsidR="00A401C2" w:rsidRPr="00A401C2" w:rsidRDefault="00A401C2" w:rsidP="00A401C2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В отчетном периоде 2017 года в бюджеты муниципальных районов (городских округов) направлено 8 609 862,2 тыс. рублей (42,8% от общего объема межбюджетных трансфертов, утвержденного на 2017 год), в том числе в форме: дотаций – 759 564,0 тыс. рублей (49,2% от плановых назначений); субсидий – 1 102 509,3 тыс. рублей (22,9%); субвенций – 6 717 074,8 тыс. рублей (50,5%), иных межбюджетных трансфертов – 30 714,1 тыс. рублей (6,8%).</w:t>
      </w:r>
    </w:p>
    <w:p w:rsidR="00A401C2" w:rsidRPr="00A401C2" w:rsidRDefault="00A401C2" w:rsidP="00A401C2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8</w:t>
      </w:r>
      <w:r w:rsidRPr="00A40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A40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Расходы за счет средств дорожного фонда Тульской области по состоянию на 01.07.2017 составили 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1 497 371,6 </w:t>
      </w:r>
      <w:r w:rsidRPr="00A40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 рублей (29,7% от плановых назначений), из них 92,3% от объема расходов за счет средств дорожного фонда (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1 381 642,8 </w:t>
      </w:r>
      <w:r w:rsidRPr="00A40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тыс. рублей) направлено на предоставление субсидий бюджетному учреждению Тульской области «Тулаавтодор» на выполнение государственного задания на выполнение работ по капитальному ремонту, содержанию автомобильных дорог общего пользования регионального или межмуниципального значения, 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осуществление капитальных вложений в объекты в объекты капитального строительства государственной собственности. </w:t>
      </w:r>
    </w:p>
    <w:p w:rsidR="00A401C2" w:rsidRPr="00A401C2" w:rsidRDefault="00A401C2" w:rsidP="00A401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первом полугодии текущего года объем поступлений доходов бюджета Тульской области,</w:t>
      </w:r>
      <w:r w:rsidRPr="00A40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пределах которых формируются бюджетные ассигнования дорожного фонда Тульской области,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составил </w:t>
      </w:r>
      <w:r w:rsidRPr="00A40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1 464 691,1 тыс. рублей.</w:t>
      </w:r>
    </w:p>
    <w:p w:rsidR="00A401C2" w:rsidRPr="00A401C2" w:rsidRDefault="00A401C2" w:rsidP="007449C8">
      <w:pPr>
        <w:numPr>
          <w:ilvl w:val="0"/>
          <w:numId w:val="36"/>
        </w:numPr>
        <w:tabs>
          <w:tab w:val="left" w:pos="710"/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 первое полугодие 2017 года бюджетные ассигнования на реализацию 23 государственных программ Тульской области </w:t>
      </w:r>
      <w:r w:rsidRPr="00A401C2">
        <w:rPr>
          <w:rFonts w:ascii="Times New Roman" w:eastAsia="Times New Roman" w:hAnsi="Times New Roman" w:cs="Times New Roman"/>
          <w:bCs/>
          <w:spacing w:val="-4"/>
          <w:sz w:val="28"/>
          <w:szCs w:val="20"/>
          <w:lang w:eastAsia="ru-RU"/>
        </w:rPr>
        <w:t>направлено</w:t>
      </w:r>
      <w:r w:rsidRPr="00A40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40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29 314 617,6 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42,7% </w:t>
      </w:r>
      <w:r w:rsidRPr="00A40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объема бюджетных ассигнований на 2017 год. </w:t>
      </w:r>
      <w:r w:rsidRPr="00A40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Наибольшее использование бюджетных ассигнований (выше 50%) отмечается по 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двум</w:t>
      </w:r>
      <w:r w:rsidRPr="00A40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государственным программам: «Развитие малого и среднего предпринимательства в Тульской области» (51,3%); «Развитие транспортной системы Тульской области и повышение безопасности дорожного движения» (56,2%).</w:t>
      </w:r>
    </w:p>
    <w:p w:rsidR="00A401C2" w:rsidRPr="00A401C2" w:rsidRDefault="00D93F93" w:rsidP="00A401C2">
      <w:pPr>
        <w:tabs>
          <w:tab w:val="left" w:pos="851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11</w:t>
      </w:r>
      <w:r w:rsidR="00A401C2" w:rsidRPr="00A40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A401C2" w:rsidRPr="00A40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За первое полугодие 2017 года объем государственного долга Тульской области </w:t>
      </w:r>
      <w:r w:rsidR="00A401C2"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17 017 436,0 тыс. рублей, </w:t>
      </w:r>
      <w:r w:rsidR="00A401C2" w:rsidRPr="00A40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относительно его величины на начало года</w:t>
      </w:r>
      <w:r w:rsidR="00A401C2"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</w:t>
      </w:r>
      <w:r w:rsidR="00A401C2" w:rsidRPr="00A401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1 289 791,0 тыс. рублей, или на 8,2%.</w:t>
      </w:r>
      <w:r w:rsidR="00A401C2"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1C2" w:rsidRPr="00A401C2" w:rsidRDefault="00A401C2" w:rsidP="00A401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области на обслуживание государственного внутреннего долга Тульской области </w:t>
      </w:r>
      <w:r w:rsidRPr="00A401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осуществлены на сумму 351 167,6 тыс. рублей, что составляет 45,2% к годовым бюджетным назначениям и 70,2% к соответствующему показателю прошлого года.</w:t>
      </w:r>
    </w:p>
    <w:p w:rsidR="00A401C2" w:rsidRDefault="00A401C2" w:rsidP="00A401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</w:pPr>
    </w:p>
    <w:p w:rsidR="00D93F93" w:rsidRDefault="00D93F93" w:rsidP="009921EB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направлено в Тульскую областную Думу, правительству Тульской области.</w:t>
      </w:r>
    </w:p>
    <w:p w:rsidR="00D93F93" w:rsidRDefault="00D93F93" w:rsidP="009921EB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 Тульской области подготовлены и направлены правительству Тульской области следующие предложения:</w:t>
      </w:r>
    </w:p>
    <w:p w:rsidR="009921EB" w:rsidRDefault="009921EB" w:rsidP="009921EB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П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последующем внесении изменений в Закон о бюджете области на 2017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в прогнозном показателе объема доходов фактические поступления, превышающие 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прогнозные показатели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 состоянию на 01.07.2017 составляет 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12 027,3 тыс. 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4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11-ти подстатьям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4E87" w:rsidRDefault="009921EB" w:rsidP="009921EB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D4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D44E87" w:rsidRPr="00D44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D44E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4E87" w:rsidRPr="00D4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значительных резервов по пополнению доходной части бюджета в виде погашения недоимки по региональным налогам</w:t>
      </w:r>
      <w:r w:rsidR="00D4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44E87" w:rsidRPr="00D44E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работу по организации межведомственного взаимодействия с целью повышения уровня собираемости налогов, снижения недоимки</w:t>
      </w:r>
      <w:r w:rsidR="00D44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1EB" w:rsidRPr="00A401C2" w:rsidRDefault="00D44E87" w:rsidP="009921EB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="00C279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 средств бюджета области</w:t>
      </w:r>
      <w:r w:rsidRPr="00D4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3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 за равномерным в течение финансового года расходованием средств.</w:t>
      </w:r>
    </w:p>
    <w:p w:rsidR="00A401C2" w:rsidRPr="00A401C2" w:rsidRDefault="00A401C2" w:rsidP="00A401C2">
      <w:pPr>
        <w:tabs>
          <w:tab w:val="left" w:pos="6946"/>
        </w:tabs>
        <w:spacing w:after="0" w:line="240" w:lineRule="auto"/>
        <w:ind w:right="26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6051"/>
      </w:tblGrid>
      <w:tr w:rsidR="00A401C2" w:rsidRPr="00A401C2" w:rsidTr="00A401C2">
        <w:tc>
          <w:tcPr>
            <w:tcW w:w="3369" w:type="dxa"/>
          </w:tcPr>
          <w:p w:rsidR="00A401C2" w:rsidRPr="00A401C2" w:rsidRDefault="00A401C2" w:rsidP="00A401C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401C2" w:rsidRPr="00A401C2" w:rsidRDefault="00A401C2" w:rsidP="00A401C2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401C2">
              <w:rPr>
                <w:rFonts w:ascii="Times New Roman" w:eastAsia="Calibri" w:hAnsi="Times New Roman" w:cs="Times New Roman"/>
                <w:sz w:val="28"/>
              </w:rPr>
              <w:t>Аудитор счетной палаты Тульской области</w:t>
            </w:r>
          </w:p>
        </w:tc>
        <w:tc>
          <w:tcPr>
            <w:tcW w:w="6201" w:type="dxa"/>
            <w:vAlign w:val="bottom"/>
          </w:tcPr>
          <w:p w:rsidR="00A401C2" w:rsidRPr="00A401C2" w:rsidRDefault="00A401C2" w:rsidP="00A401C2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A401C2" w:rsidRPr="00A401C2" w:rsidRDefault="00A401C2" w:rsidP="00A401C2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401C2" w:rsidRPr="00A401C2" w:rsidRDefault="00A401C2" w:rsidP="00A401C2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A401C2">
              <w:rPr>
                <w:rFonts w:ascii="Times New Roman" w:eastAsia="Calibri" w:hAnsi="Times New Roman" w:cs="Times New Roman"/>
                <w:sz w:val="28"/>
              </w:rPr>
              <w:t>О.П. Гремякова</w:t>
            </w:r>
          </w:p>
        </w:tc>
      </w:tr>
    </w:tbl>
    <w:p w:rsidR="00A401C2" w:rsidRPr="00A401C2" w:rsidRDefault="00A401C2" w:rsidP="00A40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2ADD" w:rsidRDefault="002D2ADD"/>
    <w:sectPr w:rsidR="002D2ADD" w:rsidSect="00A401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581" w:rsidRDefault="00D82581" w:rsidP="00A401C2">
      <w:pPr>
        <w:spacing w:after="0" w:line="240" w:lineRule="auto"/>
      </w:pPr>
      <w:r>
        <w:separator/>
      </w:r>
    </w:p>
  </w:endnote>
  <w:endnote w:type="continuationSeparator" w:id="0">
    <w:p w:rsidR="00D82581" w:rsidRDefault="00D82581" w:rsidP="00A4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581" w:rsidRDefault="00D82581" w:rsidP="00A401C2">
      <w:pPr>
        <w:spacing w:after="0" w:line="240" w:lineRule="auto"/>
      </w:pPr>
      <w:r>
        <w:separator/>
      </w:r>
    </w:p>
  </w:footnote>
  <w:footnote w:type="continuationSeparator" w:id="0">
    <w:p w:rsidR="00D82581" w:rsidRDefault="00D82581" w:rsidP="00A40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74866"/>
      <w:docPartObj>
        <w:docPartGallery w:val="Page Numbers (Top of Page)"/>
        <w:docPartUnique/>
      </w:docPartObj>
    </w:sdtPr>
    <w:sdtEndPr/>
    <w:sdtContent>
      <w:p w:rsidR="00A401C2" w:rsidRDefault="00A401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F93">
          <w:rPr>
            <w:noProof/>
          </w:rPr>
          <w:t>2</w:t>
        </w:r>
        <w:r>
          <w:fldChar w:fldCharType="end"/>
        </w:r>
      </w:p>
    </w:sdtContent>
  </w:sdt>
  <w:p w:rsidR="00A401C2" w:rsidRDefault="00A401C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MC900115844[1]"/>
      </v:shape>
    </w:pict>
  </w:numPicBullet>
  <w:abstractNum w:abstractNumId="0" w15:restartNumberingAfterBreak="0">
    <w:nsid w:val="02C27363"/>
    <w:multiLevelType w:val="hybridMultilevel"/>
    <w:tmpl w:val="FE0EF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8E742B"/>
    <w:multiLevelType w:val="hybridMultilevel"/>
    <w:tmpl w:val="87B4774E"/>
    <w:lvl w:ilvl="0" w:tplc="738654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E7D638E"/>
    <w:multiLevelType w:val="hybridMultilevel"/>
    <w:tmpl w:val="F1364062"/>
    <w:lvl w:ilvl="0" w:tplc="F0AEDE8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6D7274"/>
    <w:multiLevelType w:val="hybridMultilevel"/>
    <w:tmpl w:val="505AEDE6"/>
    <w:lvl w:ilvl="0" w:tplc="44C8192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A99744E"/>
    <w:multiLevelType w:val="hybridMultilevel"/>
    <w:tmpl w:val="3EE663D8"/>
    <w:lvl w:ilvl="0" w:tplc="6F50D650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4A427B1"/>
    <w:multiLevelType w:val="hybridMultilevel"/>
    <w:tmpl w:val="B70CD2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571B39"/>
    <w:multiLevelType w:val="hybridMultilevel"/>
    <w:tmpl w:val="267CC2C4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EBF6644"/>
    <w:multiLevelType w:val="hybridMultilevel"/>
    <w:tmpl w:val="A90842C8"/>
    <w:lvl w:ilvl="0" w:tplc="CC323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8F3CF3"/>
    <w:multiLevelType w:val="hybridMultilevel"/>
    <w:tmpl w:val="224E7BDC"/>
    <w:lvl w:ilvl="0" w:tplc="11042E42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507C"/>
    <w:multiLevelType w:val="hybridMultilevel"/>
    <w:tmpl w:val="5FD4C7D4"/>
    <w:lvl w:ilvl="0" w:tplc="9330371E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2" w15:restartNumberingAfterBreak="0">
    <w:nsid w:val="4A7F1E82"/>
    <w:multiLevelType w:val="hybridMultilevel"/>
    <w:tmpl w:val="525621FC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 w15:restartNumberingAfterBreak="0">
    <w:nsid w:val="4FB0677A"/>
    <w:multiLevelType w:val="hybridMultilevel"/>
    <w:tmpl w:val="D1FEB248"/>
    <w:lvl w:ilvl="0" w:tplc="50F8D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C52CCB"/>
    <w:multiLevelType w:val="hybridMultilevel"/>
    <w:tmpl w:val="33BE7B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FE0FF1"/>
    <w:multiLevelType w:val="hybridMultilevel"/>
    <w:tmpl w:val="98E062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A7417"/>
    <w:multiLevelType w:val="hybridMultilevel"/>
    <w:tmpl w:val="2F4CBBEE"/>
    <w:lvl w:ilvl="0" w:tplc="47D40D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790923"/>
    <w:multiLevelType w:val="hybridMultilevel"/>
    <w:tmpl w:val="13C26986"/>
    <w:lvl w:ilvl="0" w:tplc="B1826FEC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4E02979"/>
    <w:multiLevelType w:val="hybridMultilevel"/>
    <w:tmpl w:val="9640986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5801A34"/>
    <w:multiLevelType w:val="hybridMultilevel"/>
    <w:tmpl w:val="4A5ABD22"/>
    <w:lvl w:ilvl="0" w:tplc="62525E8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697761F"/>
    <w:multiLevelType w:val="hybridMultilevel"/>
    <w:tmpl w:val="7F44B728"/>
    <w:lvl w:ilvl="0" w:tplc="E0C80C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DF3853"/>
    <w:multiLevelType w:val="hybridMultilevel"/>
    <w:tmpl w:val="73040366"/>
    <w:lvl w:ilvl="0" w:tplc="3B9AE1F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E40CF3"/>
    <w:multiLevelType w:val="hybridMultilevel"/>
    <w:tmpl w:val="EBBE887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8DD222E"/>
    <w:multiLevelType w:val="hybridMultilevel"/>
    <w:tmpl w:val="E998F438"/>
    <w:lvl w:ilvl="0" w:tplc="097652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522A2F"/>
    <w:multiLevelType w:val="hybridMultilevel"/>
    <w:tmpl w:val="F790007C"/>
    <w:lvl w:ilvl="0" w:tplc="DA6CEE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69677F"/>
    <w:multiLevelType w:val="hybridMultilevel"/>
    <w:tmpl w:val="05E201C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6433ACA"/>
    <w:multiLevelType w:val="hybridMultilevel"/>
    <w:tmpl w:val="4C9A266E"/>
    <w:lvl w:ilvl="0" w:tplc="8F36851A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31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3353A3"/>
    <w:multiLevelType w:val="hybridMultilevel"/>
    <w:tmpl w:val="93EE78AC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31"/>
  </w:num>
  <w:num w:numId="5">
    <w:abstractNumId w:val="19"/>
  </w:num>
  <w:num w:numId="6">
    <w:abstractNumId w:val="22"/>
  </w:num>
  <w:num w:numId="7">
    <w:abstractNumId w:val="17"/>
  </w:num>
  <w:num w:numId="8">
    <w:abstractNumId w:val="4"/>
  </w:num>
  <w:num w:numId="9">
    <w:abstractNumId w:val="12"/>
  </w:num>
  <w:num w:numId="10">
    <w:abstractNumId w:val="7"/>
  </w:num>
  <w:num w:numId="11">
    <w:abstractNumId w:val="30"/>
  </w:num>
  <w:num w:numId="12">
    <w:abstractNumId w:val="23"/>
  </w:num>
  <w:num w:numId="13">
    <w:abstractNumId w:val="11"/>
  </w:num>
  <w:num w:numId="14">
    <w:abstractNumId w:val="2"/>
  </w:num>
  <w:num w:numId="15">
    <w:abstractNumId w:val="29"/>
  </w:num>
  <w:num w:numId="16">
    <w:abstractNumId w:val="15"/>
  </w:num>
  <w:num w:numId="17">
    <w:abstractNumId w:val="20"/>
  </w:num>
  <w:num w:numId="18">
    <w:abstractNumId w:val="0"/>
  </w:num>
  <w:num w:numId="19">
    <w:abstractNumId w:val="16"/>
  </w:num>
  <w:num w:numId="20">
    <w:abstractNumId w:val="6"/>
  </w:num>
  <w:num w:numId="21">
    <w:abstractNumId w:val="10"/>
  </w:num>
  <w:num w:numId="22">
    <w:abstractNumId w:val="14"/>
  </w:num>
  <w:num w:numId="23">
    <w:abstractNumId w:val="24"/>
  </w:num>
  <w:num w:numId="24">
    <w:abstractNumId w:val="9"/>
  </w:num>
  <w:num w:numId="25">
    <w:abstractNumId w:val="26"/>
  </w:num>
  <w:num w:numId="26">
    <w:abstractNumId w:val="25"/>
  </w:num>
  <w:num w:numId="27">
    <w:abstractNumId w:val="3"/>
  </w:num>
  <w:num w:numId="28">
    <w:abstractNumId w:val="32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1"/>
  </w:num>
  <w:num w:numId="34">
    <w:abstractNumId w:val="8"/>
  </w:num>
  <w:num w:numId="35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C2"/>
    <w:rsid w:val="002D2ADD"/>
    <w:rsid w:val="002D638A"/>
    <w:rsid w:val="00365B7C"/>
    <w:rsid w:val="004F0C0A"/>
    <w:rsid w:val="007449C8"/>
    <w:rsid w:val="009921EB"/>
    <w:rsid w:val="00A401C2"/>
    <w:rsid w:val="00B16CED"/>
    <w:rsid w:val="00C27999"/>
    <w:rsid w:val="00D44E87"/>
    <w:rsid w:val="00D82581"/>
    <w:rsid w:val="00D93F93"/>
    <w:rsid w:val="00E1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B75A4-87DE-4DD3-B735-A3AEF74D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01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01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401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01C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401C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1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0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01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0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01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401C2"/>
  </w:style>
  <w:style w:type="paragraph" w:styleId="a3">
    <w:name w:val="Body Text"/>
    <w:basedOn w:val="a"/>
    <w:link w:val="a4"/>
    <w:rsid w:val="00A401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0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40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A401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A401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40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A401C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401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A401C2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a">
    <w:name w:val="Документ"/>
    <w:basedOn w:val="a"/>
    <w:rsid w:val="00A401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правка"/>
    <w:basedOn w:val="a"/>
    <w:autoRedefine/>
    <w:rsid w:val="00A401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A40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40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A401C2"/>
  </w:style>
  <w:style w:type="paragraph" w:styleId="af">
    <w:name w:val="footer"/>
    <w:basedOn w:val="a"/>
    <w:link w:val="af0"/>
    <w:rsid w:val="00A40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A4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A4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A40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rsid w:val="00A401C2"/>
    <w:rPr>
      <w:vertAlign w:val="superscript"/>
    </w:rPr>
  </w:style>
  <w:style w:type="paragraph" w:customStyle="1" w:styleId="ConsNormal">
    <w:name w:val="ConsNormal"/>
    <w:rsid w:val="00A40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23">
    <w:name w:val="Body Text 2"/>
    <w:basedOn w:val="a"/>
    <w:link w:val="24"/>
    <w:rsid w:val="00A401C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4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0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rsid w:val="00A401C2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gettl">
    <w:name w:val="pagettl"/>
    <w:basedOn w:val="a"/>
    <w:rsid w:val="00A401C2"/>
    <w:pPr>
      <w:spacing w:before="150" w:after="60" w:line="240" w:lineRule="auto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customStyle="1" w:styleId="af5">
    <w:name w:val="Знак"/>
    <w:basedOn w:val="a"/>
    <w:autoRedefine/>
    <w:rsid w:val="00A401C2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FontStyle425">
    <w:name w:val="Font Style425"/>
    <w:basedOn w:val="a0"/>
    <w:rsid w:val="00A401C2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A401C2"/>
    <w:pPr>
      <w:spacing w:after="0" w:line="240" w:lineRule="exact"/>
    </w:pPr>
    <w:rPr>
      <w:rFonts w:ascii="Times New Roman" w:eastAsia="SimSun" w:hAnsi="Times New Roman" w:cs="Times New Roman"/>
      <w:b/>
      <w:i/>
      <w:sz w:val="24"/>
      <w:szCs w:val="24"/>
      <w:lang w:val="en-US"/>
    </w:rPr>
  </w:style>
  <w:style w:type="paragraph" w:customStyle="1" w:styleId="12">
    <w:name w:val="Знак1"/>
    <w:basedOn w:val="a"/>
    <w:rsid w:val="00A401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A401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401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A401C2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401C2"/>
    <w:pPr>
      <w:shd w:val="clear" w:color="auto" w:fill="FFFFFF"/>
      <w:spacing w:after="60" w:line="240" w:lineRule="atLeast"/>
    </w:pPr>
    <w:rPr>
      <w:i/>
      <w:iCs/>
      <w:noProof/>
      <w:sz w:val="25"/>
      <w:szCs w:val="25"/>
    </w:rPr>
  </w:style>
  <w:style w:type="character" w:customStyle="1" w:styleId="af7">
    <w:name w:val="Основной текст + Полужирный"/>
    <w:basedOn w:val="a0"/>
    <w:uiPriority w:val="99"/>
    <w:rsid w:val="00A401C2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3">
    <w:name w:val="Обычный1"/>
    <w:rsid w:val="00A4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*АБЗАЦ.БЕЗ ОТСТУПОВ Знак"/>
    <w:basedOn w:val="a0"/>
    <w:link w:val="af9"/>
    <w:locked/>
    <w:rsid w:val="00A401C2"/>
    <w:rPr>
      <w:sz w:val="28"/>
    </w:rPr>
  </w:style>
  <w:style w:type="paragraph" w:customStyle="1" w:styleId="af9">
    <w:name w:val="*АБЗАЦ.БЕЗ ОТСТУПОВ"/>
    <w:link w:val="af8"/>
    <w:qFormat/>
    <w:rsid w:val="00A401C2"/>
    <w:pPr>
      <w:spacing w:after="0" w:line="240" w:lineRule="auto"/>
      <w:ind w:firstLine="709"/>
      <w:jc w:val="both"/>
    </w:pPr>
    <w:rPr>
      <w:sz w:val="28"/>
    </w:rPr>
  </w:style>
  <w:style w:type="character" w:customStyle="1" w:styleId="afa">
    <w:name w:val="*ТЕКСТ.КУРСИВ"/>
    <w:qFormat/>
    <w:rsid w:val="00A401C2"/>
    <w:rPr>
      <w:i/>
      <w:iCs w:val="0"/>
    </w:rPr>
  </w:style>
  <w:style w:type="character" w:customStyle="1" w:styleId="afb">
    <w:name w:val="Текст выноски Знак"/>
    <w:basedOn w:val="a0"/>
    <w:link w:val="afc"/>
    <w:semiHidden/>
    <w:rsid w:val="00A401C2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unhideWhenUsed/>
    <w:rsid w:val="00A401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401C2"/>
    <w:rPr>
      <w:rFonts w:ascii="Segoe UI" w:hAnsi="Segoe UI" w:cs="Segoe UI"/>
      <w:sz w:val="18"/>
      <w:szCs w:val="18"/>
    </w:rPr>
  </w:style>
  <w:style w:type="paragraph" w:styleId="afd">
    <w:name w:val="Plain Text"/>
    <w:basedOn w:val="a"/>
    <w:link w:val="afe"/>
    <w:rsid w:val="00A401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A401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A40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*ТЕКСТ С ИНТЕРВ. ПОСЛЕ*"/>
    <w:basedOn w:val="a"/>
    <w:next w:val="a"/>
    <w:link w:val="aff1"/>
    <w:uiPriority w:val="99"/>
    <w:qFormat/>
    <w:rsid w:val="00A401C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1">
    <w:name w:val="*ТЕКСТ С ИНТЕРВ. ПОСЛЕ* Знак"/>
    <w:basedOn w:val="a0"/>
    <w:link w:val="aff0"/>
    <w:uiPriority w:val="99"/>
    <w:rsid w:val="00A40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*ТЕКСТ*"/>
    <w:link w:val="aff3"/>
    <w:qFormat/>
    <w:rsid w:val="00A401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*ТЕКСТ* Знак"/>
    <w:basedOn w:val="a0"/>
    <w:link w:val="aff2"/>
    <w:rsid w:val="00A40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40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4">
    <w:name w:val="*РАЗДЕЛ* Знак"/>
    <w:basedOn w:val="a0"/>
    <w:link w:val="aff5"/>
    <w:locked/>
    <w:rsid w:val="00A401C2"/>
    <w:rPr>
      <w:rFonts w:ascii="Times New Roman" w:hAnsi="Times New Roman"/>
      <w:b/>
      <w:sz w:val="28"/>
    </w:rPr>
  </w:style>
  <w:style w:type="paragraph" w:customStyle="1" w:styleId="aff5">
    <w:name w:val="*РАЗДЕЛ*"/>
    <w:next w:val="a"/>
    <w:link w:val="aff4"/>
    <w:qFormat/>
    <w:rsid w:val="00A401C2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table" w:styleId="aff6">
    <w:name w:val="Table Grid"/>
    <w:basedOn w:val="a1"/>
    <w:uiPriority w:val="59"/>
    <w:rsid w:val="00A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A40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A401C2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A4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A4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A401C2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A401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Hyperlink"/>
    <w:basedOn w:val="a0"/>
    <w:uiPriority w:val="99"/>
    <w:semiHidden/>
    <w:unhideWhenUsed/>
    <w:rsid w:val="00A401C2"/>
    <w:rPr>
      <w:color w:val="0000FF"/>
      <w:u w:val="single"/>
    </w:rPr>
  </w:style>
  <w:style w:type="table" w:customStyle="1" w:styleId="15">
    <w:name w:val="Сетка таблицы1"/>
    <w:basedOn w:val="a1"/>
    <w:next w:val="aff6"/>
    <w:uiPriority w:val="59"/>
    <w:rsid w:val="00A4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A4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Гремякова Ольга Петровна</cp:lastModifiedBy>
  <cp:revision>2</cp:revision>
  <cp:lastPrinted>2017-08-10T07:31:00Z</cp:lastPrinted>
  <dcterms:created xsi:type="dcterms:W3CDTF">2017-08-18T11:49:00Z</dcterms:created>
  <dcterms:modified xsi:type="dcterms:W3CDTF">2017-08-18T11:49:00Z</dcterms:modified>
</cp:coreProperties>
</file>