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AE" w:rsidRDefault="00B23C48" w:rsidP="006462C0">
      <w:pPr>
        <w:spacing w:after="0" w:line="240" w:lineRule="auto"/>
        <w:jc w:val="center"/>
        <w:rPr>
          <w:rFonts w:ascii="Times New Roman CYR" w:eastAsia="Calibri" w:hAnsi="Times New Roman CYR" w:cs="Times New Roman CYR"/>
          <w:b/>
          <w:bCs/>
          <w:iCs/>
          <w:sz w:val="28"/>
          <w:szCs w:val="28"/>
        </w:rPr>
      </w:pPr>
      <w:r>
        <w:rPr>
          <w:rFonts w:ascii="Times New Roman CYR" w:eastAsia="Calibri" w:hAnsi="Times New Roman CYR" w:cs="Times New Roman CYR"/>
          <w:b/>
          <w:bCs/>
          <w:iCs/>
          <w:sz w:val="28"/>
          <w:szCs w:val="28"/>
        </w:rPr>
        <w:t>Информация</w:t>
      </w:r>
    </w:p>
    <w:p w:rsidR="009707CA" w:rsidRDefault="00CE2DAE" w:rsidP="006462C0">
      <w:pPr>
        <w:framePr w:hSpace="180" w:wrap="around" w:vAnchor="text" w:hAnchor="text" w:y="1"/>
        <w:suppressOverlap/>
        <w:jc w:val="center"/>
        <w:rPr>
          <w:rFonts w:ascii="Times New Roman" w:eastAsia="Times New Roman" w:hAnsi="Times New Roman" w:cs="Times New Roman"/>
          <w:b/>
          <w:kern w:val="28"/>
          <w:sz w:val="28"/>
          <w:szCs w:val="28"/>
          <w:lang w:eastAsia="ru-RU"/>
        </w:rPr>
      </w:pPr>
      <w:r>
        <w:rPr>
          <w:rFonts w:ascii="Times New Roman CYR" w:eastAsia="Calibri" w:hAnsi="Times New Roman CYR" w:cs="Times New Roman CYR"/>
          <w:b/>
          <w:bCs/>
          <w:iCs/>
          <w:sz w:val="28"/>
          <w:szCs w:val="28"/>
        </w:rPr>
        <w:t>о результатах</w:t>
      </w:r>
      <w:r w:rsidR="009707CA" w:rsidRPr="00C52287">
        <w:rPr>
          <w:rFonts w:ascii="Times New Roman CYR" w:eastAsia="Calibri" w:hAnsi="Times New Roman CYR" w:cs="Times New Roman CYR"/>
          <w:b/>
          <w:bCs/>
          <w:iCs/>
          <w:sz w:val="28"/>
          <w:szCs w:val="28"/>
        </w:rPr>
        <w:t xml:space="preserve"> </w:t>
      </w:r>
      <w:r w:rsidR="006462C0">
        <w:rPr>
          <w:rFonts w:ascii="Times New Roman CYR" w:eastAsia="Calibri" w:hAnsi="Times New Roman CYR" w:cs="Times New Roman CYR"/>
          <w:b/>
          <w:bCs/>
          <w:iCs/>
          <w:sz w:val="28"/>
          <w:szCs w:val="28"/>
        </w:rPr>
        <w:t>комплекса</w:t>
      </w:r>
      <w:r w:rsidR="006462C0" w:rsidRPr="00C55AEB">
        <w:rPr>
          <w:bCs/>
        </w:rPr>
        <w:t xml:space="preserve"> </w:t>
      </w:r>
      <w:r w:rsidR="006462C0" w:rsidRPr="006462C0">
        <w:rPr>
          <w:rFonts w:ascii="Times New Roman CYR" w:eastAsia="Calibri" w:hAnsi="Times New Roman CYR" w:cs="Times New Roman CYR"/>
          <w:b/>
          <w:bCs/>
          <w:iCs/>
          <w:sz w:val="28"/>
          <w:szCs w:val="28"/>
        </w:rPr>
        <w:t>контрольных и экспертно-аналитических мероприятий «Внешняя проверка годового отчета об исполнении бюджета Тульской области за 2020 год»</w:t>
      </w:r>
    </w:p>
    <w:p w:rsidR="00D90273" w:rsidRPr="00F96C48" w:rsidRDefault="00CE2DAE" w:rsidP="00AD472F">
      <w:pPr>
        <w:spacing w:after="0" w:line="240" w:lineRule="auto"/>
        <w:ind w:firstLine="709"/>
        <w:jc w:val="both"/>
        <w:rPr>
          <w:rFonts w:ascii="Times New Roman" w:eastAsia="Times New Roman" w:hAnsi="Times New Roman" w:cs="Times New Roman"/>
          <w:kern w:val="28"/>
          <w:sz w:val="28"/>
          <w:szCs w:val="28"/>
          <w:lang w:eastAsia="ru-RU"/>
        </w:rPr>
      </w:pPr>
      <w:r w:rsidRPr="00CE2DAE">
        <w:rPr>
          <w:rFonts w:ascii="Times New Roman" w:eastAsia="Times New Roman" w:hAnsi="Times New Roman" w:cs="Times New Roman"/>
          <w:kern w:val="28"/>
          <w:sz w:val="28"/>
          <w:szCs w:val="28"/>
          <w:lang w:eastAsia="ru-RU"/>
        </w:rPr>
        <w:t xml:space="preserve">Счетной палатой Тульской области </w:t>
      </w:r>
      <w:r w:rsidR="003D1EEF">
        <w:rPr>
          <w:rFonts w:ascii="Times New Roman" w:eastAsia="Times New Roman" w:hAnsi="Times New Roman" w:cs="Times New Roman"/>
          <w:kern w:val="28"/>
          <w:sz w:val="28"/>
          <w:szCs w:val="28"/>
          <w:lang w:eastAsia="ru-RU"/>
        </w:rPr>
        <w:t xml:space="preserve">(далее – счетная палата) </w:t>
      </w:r>
      <w:r w:rsidRPr="00CE2DAE">
        <w:rPr>
          <w:rFonts w:ascii="Times New Roman" w:eastAsia="Times New Roman" w:hAnsi="Times New Roman" w:cs="Times New Roman"/>
          <w:kern w:val="28"/>
          <w:sz w:val="28"/>
          <w:szCs w:val="28"/>
          <w:lang w:eastAsia="ru-RU"/>
        </w:rPr>
        <w:t xml:space="preserve">в соответствии с </w:t>
      </w:r>
      <w:r w:rsidR="00BF7E5F">
        <w:rPr>
          <w:rFonts w:ascii="Times New Roman" w:eastAsia="Times New Roman" w:hAnsi="Times New Roman" w:cs="Times New Roman"/>
          <w:kern w:val="28"/>
          <w:sz w:val="28"/>
          <w:szCs w:val="28"/>
          <w:lang w:eastAsia="ru-RU"/>
        </w:rPr>
        <w:t>пунктом 1</w:t>
      </w:r>
      <w:r>
        <w:rPr>
          <w:rFonts w:ascii="Times New Roman" w:eastAsia="Times New Roman" w:hAnsi="Times New Roman" w:cs="Times New Roman"/>
          <w:kern w:val="28"/>
          <w:sz w:val="28"/>
          <w:szCs w:val="28"/>
          <w:lang w:eastAsia="ru-RU"/>
        </w:rPr>
        <w:t>.</w:t>
      </w:r>
      <w:r w:rsidR="00BF7E5F">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w:t>
      </w:r>
      <w:r w:rsidR="00476227">
        <w:rPr>
          <w:rFonts w:ascii="Times New Roman" w:eastAsia="Times New Roman" w:hAnsi="Times New Roman" w:cs="Times New Roman"/>
          <w:kern w:val="28"/>
          <w:sz w:val="28"/>
          <w:szCs w:val="28"/>
          <w:lang w:eastAsia="ru-RU"/>
        </w:rPr>
        <w:t>1</w:t>
      </w:r>
      <w:r w:rsidR="00D90273">
        <w:rPr>
          <w:rFonts w:ascii="Times New Roman" w:eastAsia="Times New Roman" w:hAnsi="Times New Roman" w:cs="Times New Roman"/>
          <w:kern w:val="28"/>
          <w:sz w:val="28"/>
          <w:szCs w:val="28"/>
          <w:lang w:eastAsia="ru-RU"/>
        </w:rPr>
        <w:t xml:space="preserve"> </w:t>
      </w:r>
      <w:r w:rsidR="004808B1">
        <w:rPr>
          <w:rFonts w:ascii="Times New Roman" w:eastAsia="Times New Roman" w:hAnsi="Times New Roman" w:cs="Times New Roman"/>
          <w:kern w:val="28"/>
          <w:sz w:val="28"/>
          <w:szCs w:val="28"/>
          <w:lang w:eastAsia="ru-RU"/>
        </w:rPr>
        <w:t>п</w:t>
      </w:r>
      <w:r w:rsidRPr="00CE2DAE">
        <w:rPr>
          <w:rFonts w:ascii="Times New Roman" w:eastAsia="Times New Roman" w:hAnsi="Times New Roman" w:cs="Times New Roman"/>
          <w:kern w:val="28"/>
          <w:sz w:val="28"/>
          <w:szCs w:val="28"/>
          <w:lang w:eastAsia="ru-RU"/>
        </w:rPr>
        <w:t xml:space="preserve">лана </w:t>
      </w:r>
      <w:r w:rsidRPr="00F96C48">
        <w:rPr>
          <w:rFonts w:ascii="Times New Roman" w:eastAsia="Times New Roman" w:hAnsi="Times New Roman" w:cs="Times New Roman"/>
          <w:kern w:val="28"/>
          <w:sz w:val="28"/>
          <w:szCs w:val="28"/>
          <w:lang w:eastAsia="ru-RU"/>
        </w:rPr>
        <w:t>работы счетной палаты Тульской области на 20</w:t>
      </w:r>
      <w:r w:rsidR="00BF7E5F" w:rsidRPr="00F96C48">
        <w:rPr>
          <w:rFonts w:ascii="Times New Roman" w:eastAsia="Times New Roman" w:hAnsi="Times New Roman" w:cs="Times New Roman"/>
          <w:kern w:val="28"/>
          <w:sz w:val="28"/>
          <w:szCs w:val="28"/>
          <w:lang w:eastAsia="ru-RU"/>
        </w:rPr>
        <w:t>2</w:t>
      </w:r>
      <w:r w:rsidR="00476227" w:rsidRPr="00F96C48">
        <w:rPr>
          <w:rFonts w:ascii="Times New Roman" w:eastAsia="Times New Roman" w:hAnsi="Times New Roman" w:cs="Times New Roman"/>
          <w:kern w:val="28"/>
          <w:sz w:val="28"/>
          <w:szCs w:val="28"/>
          <w:lang w:eastAsia="ru-RU"/>
        </w:rPr>
        <w:t>1</w:t>
      </w:r>
      <w:r w:rsidRPr="00F96C48">
        <w:rPr>
          <w:rFonts w:ascii="Times New Roman" w:eastAsia="Times New Roman" w:hAnsi="Times New Roman" w:cs="Times New Roman"/>
          <w:kern w:val="28"/>
          <w:sz w:val="28"/>
          <w:szCs w:val="28"/>
          <w:lang w:eastAsia="ru-RU"/>
        </w:rPr>
        <w:t xml:space="preserve"> год в период </w:t>
      </w:r>
      <w:r w:rsidR="00BF7E5F" w:rsidRPr="00F96C48">
        <w:rPr>
          <w:rFonts w:ascii="Times New Roman" w:eastAsia="Times New Roman" w:hAnsi="Times New Roman" w:cs="Times New Roman"/>
          <w:kern w:val="28"/>
          <w:sz w:val="28"/>
          <w:szCs w:val="28"/>
          <w:lang w:eastAsia="ru-RU"/>
        </w:rPr>
        <w:t xml:space="preserve">с </w:t>
      </w:r>
      <w:r w:rsidR="00D90273" w:rsidRPr="00F96C48">
        <w:rPr>
          <w:rFonts w:ascii="Times New Roman" w:eastAsia="Times New Roman" w:hAnsi="Times New Roman" w:cs="Times New Roman"/>
          <w:kern w:val="28"/>
          <w:sz w:val="28"/>
          <w:szCs w:val="28"/>
          <w:lang w:eastAsia="ru-RU"/>
        </w:rPr>
        <w:t>26</w:t>
      </w:r>
      <w:r w:rsidR="00BF7E5F" w:rsidRPr="00F96C48">
        <w:rPr>
          <w:rFonts w:ascii="Times New Roman" w:eastAsia="Times New Roman" w:hAnsi="Times New Roman" w:cs="Times New Roman"/>
          <w:kern w:val="28"/>
          <w:sz w:val="28"/>
          <w:szCs w:val="28"/>
          <w:lang w:eastAsia="ru-RU"/>
        </w:rPr>
        <w:t>.0</w:t>
      </w:r>
      <w:r w:rsidR="00D90273" w:rsidRPr="00F96C48">
        <w:rPr>
          <w:rFonts w:ascii="Times New Roman" w:eastAsia="Times New Roman" w:hAnsi="Times New Roman" w:cs="Times New Roman"/>
          <w:kern w:val="28"/>
          <w:sz w:val="28"/>
          <w:szCs w:val="28"/>
          <w:lang w:eastAsia="ru-RU"/>
        </w:rPr>
        <w:t>3</w:t>
      </w:r>
      <w:r w:rsidR="00BF7E5F" w:rsidRPr="00F96C48">
        <w:rPr>
          <w:rFonts w:ascii="Times New Roman" w:eastAsia="Times New Roman" w:hAnsi="Times New Roman" w:cs="Times New Roman"/>
          <w:kern w:val="28"/>
          <w:sz w:val="28"/>
          <w:szCs w:val="28"/>
          <w:lang w:eastAsia="ru-RU"/>
        </w:rPr>
        <w:t>.202</w:t>
      </w:r>
      <w:r w:rsidR="00476227" w:rsidRPr="00F96C48">
        <w:rPr>
          <w:rFonts w:ascii="Times New Roman" w:eastAsia="Times New Roman" w:hAnsi="Times New Roman" w:cs="Times New Roman"/>
          <w:kern w:val="28"/>
          <w:sz w:val="28"/>
          <w:szCs w:val="28"/>
          <w:lang w:eastAsia="ru-RU"/>
        </w:rPr>
        <w:t>1</w:t>
      </w:r>
      <w:r w:rsidR="00BF7E5F" w:rsidRPr="00F96C48">
        <w:rPr>
          <w:rFonts w:ascii="Times New Roman" w:eastAsia="Times New Roman" w:hAnsi="Times New Roman" w:cs="Times New Roman"/>
          <w:kern w:val="28"/>
          <w:sz w:val="28"/>
          <w:szCs w:val="28"/>
          <w:lang w:eastAsia="ru-RU"/>
        </w:rPr>
        <w:t xml:space="preserve"> по 1</w:t>
      </w:r>
      <w:r w:rsidR="00D90273" w:rsidRPr="00F96C48">
        <w:rPr>
          <w:rFonts w:ascii="Times New Roman" w:eastAsia="Times New Roman" w:hAnsi="Times New Roman" w:cs="Times New Roman"/>
          <w:kern w:val="28"/>
          <w:sz w:val="28"/>
          <w:szCs w:val="28"/>
          <w:lang w:eastAsia="ru-RU"/>
        </w:rPr>
        <w:t>9</w:t>
      </w:r>
      <w:r w:rsidR="00BF7E5F" w:rsidRPr="00F96C48">
        <w:rPr>
          <w:rFonts w:ascii="Times New Roman" w:eastAsia="Times New Roman" w:hAnsi="Times New Roman" w:cs="Times New Roman"/>
          <w:kern w:val="28"/>
          <w:sz w:val="28"/>
          <w:szCs w:val="28"/>
          <w:lang w:eastAsia="ru-RU"/>
        </w:rPr>
        <w:t>.05.202</w:t>
      </w:r>
      <w:r w:rsidR="00476227" w:rsidRPr="00F96C48">
        <w:rPr>
          <w:rFonts w:ascii="Times New Roman" w:eastAsia="Times New Roman" w:hAnsi="Times New Roman" w:cs="Times New Roman"/>
          <w:kern w:val="28"/>
          <w:sz w:val="28"/>
          <w:szCs w:val="28"/>
          <w:lang w:eastAsia="ru-RU"/>
        </w:rPr>
        <w:t>1</w:t>
      </w:r>
      <w:r w:rsidR="00BF7E5F" w:rsidRPr="00F96C48">
        <w:rPr>
          <w:rFonts w:ascii="Times New Roman" w:eastAsia="Times New Roman" w:hAnsi="Times New Roman" w:cs="Times New Roman"/>
          <w:kern w:val="28"/>
          <w:sz w:val="28"/>
          <w:szCs w:val="28"/>
          <w:lang w:eastAsia="ru-RU"/>
        </w:rPr>
        <w:t xml:space="preserve"> </w:t>
      </w:r>
      <w:r w:rsidRPr="00F96C48">
        <w:rPr>
          <w:rFonts w:ascii="Times New Roman" w:eastAsia="Times New Roman" w:hAnsi="Times New Roman" w:cs="Times New Roman"/>
          <w:kern w:val="28"/>
          <w:sz w:val="28"/>
          <w:szCs w:val="28"/>
          <w:lang w:eastAsia="ru-RU"/>
        </w:rPr>
        <w:t>проведен</w:t>
      </w:r>
      <w:r w:rsidR="00D90273" w:rsidRPr="00F96C48">
        <w:rPr>
          <w:rFonts w:ascii="Times New Roman" w:eastAsia="Times New Roman" w:hAnsi="Times New Roman" w:cs="Times New Roman"/>
          <w:kern w:val="28"/>
          <w:sz w:val="28"/>
          <w:szCs w:val="28"/>
          <w:lang w:eastAsia="ru-RU"/>
        </w:rPr>
        <w:t xml:space="preserve"> </w:t>
      </w:r>
      <w:r w:rsidR="00D90273" w:rsidRPr="00F96C48">
        <w:rPr>
          <w:rFonts w:ascii="Times New Roman CYR" w:eastAsia="Calibri" w:hAnsi="Times New Roman CYR" w:cs="Times New Roman CYR"/>
          <w:bCs/>
          <w:iCs/>
          <w:sz w:val="28"/>
          <w:szCs w:val="28"/>
        </w:rPr>
        <w:t>комплекс</w:t>
      </w:r>
      <w:r w:rsidR="00D90273" w:rsidRPr="00F96C48">
        <w:rPr>
          <w:bCs/>
        </w:rPr>
        <w:t xml:space="preserve"> </w:t>
      </w:r>
      <w:r w:rsidR="00D90273" w:rsidRPr="00F96C48">
        <w:rPr>
          <w:rFonts w:ascii="Times New Roman CYR" w:eastAsia="Calibri" w:hAnsi="Times New Roman CYR" w:cs="Times New Roman CYR"/>
          <w:bCs/>
          <w:iCs/>
          <w:sz w:val="28"/>
          <w:szCs w:val="28"/>
        </w:rPr>
        <w:t>контрольных и экспертно-аналитических мероприятий «Внешняя проверка годового отчета об исполнении бюджета Тульской области за 2020 год»</w:t>
      </w:r>
      <w:r w:rsidR="00F96C48" w:rsidRPr="00F96C48">
        <w:rPr>
          <w:rFonts w:ascii="Times New Roman CYR" w:eastAsia="Calibri" w:hAnsi="Times New Roman CYR" w:cs="Times New Roman CYR"/>
          <w:bCs/>
          <w:iCs/>
          <w:sz w:val="28"/>
          <w:szCs w:val="28"/>
        </w:rPr>
        <w:t>.</w:t>
      </w:r>
    </w:p>
    <w:p w:rsidR="009707CA" w:rsidRPr="00F46468" w:rsidRDefault="00CE2DAE" w:rsidP="00AD472F">
      <w:pPr>
        <w:pStyle w:val="ListParagraph1"/>
        <w:tabs>
          <w:tab w:val="left" w:pos="1134"/>
        </w:tabs>
        <w:spacing w:before="120" w:after="0" w:line="240" w:lineRule="auto"/>
        <w:ind w:left="0" w:firstLine="709"/>
        <w:jc w:val="both"/>
        <w:rPr>
          <w:rFonts w:ascii="Times New Roman CYR" w:eastAsia="Calibri" w:hAnsi="Times New Roman CYR" w:cs="Times New Roman CYR"/>
          <w:bCs/>
          <w:iCs/>
          <w:sz w:val="28"/>
          <w:szCs w:val="28"/>
        </w:rPr>
      </w:pPr>
      <w:r w:rsidRPr="00B26AFD">
        <w:rPr>
          <w:rFonts w:ascii="Times New Roman" w:hAnsi="Times New Roman" w:cs="Times New Roman"/>
          <w:sz w:val="28"/>
          <w:szCs w:val="28"/>
        </w:rPr>
        <w:t>Объект</w:t>
      </w:r>
      <w:r w:rsidR="00F96C48">
        <w:rPr>
          <w:rFonts w:ascii="Times New Roman" w:hAnsi="Times New Roman" w:cs="Times New Roman"/>
          <w:sz w:val="28"/>
          <w:szCs w:val="28"/>
        </w:rPr>
        <w:t>ы</w:t>
      </w:r>
      <w:r w:rsidR="00044C3C">
        <w:rPr>
          <w:rFonts w:ascii="Times New Roman" w:hAnsi="Times New Roman" w:cs="Times New Roman"/>
          <w:sz w:val="28"/>
          <w:szCs w:val="28"/>
        </w:rPr>
        <w:t xml:space="preserve"> </w:t>
      </w:r>
      <w:r w:rsidR="00044C3C" w:rsidRPr="00044C3C">
        <w:rPr>
          <w:rFonts w:ascii="Times New Roman CYR" w:eastAsia="Calibri" w:hAnsi="Times New Roman CYR" w:cs="Times New Roman CYR"/>
          <w:bCs/>
          <w:iCs/>
          <w:sz w:val="28"/>
          <w:szCs w:val="28"/>
        </w:rPr>
        <w:t>комплекса</w:t>
      </w:r>
      <w:r w:rsidR="00044C3C" w:rsidRPr="00044C3C">
        <w:rPr>
          <w:bCs/>
        </w:rPr>
        <w:t xml:space="preserve"> </w:t>
      </w:r>
      <w:r w:rsidR="00044C3C" w:rsidRPr="00044C3C">
        <w:rPr>
          <w:rFonts w:ascii="Times New Roman CYR" w:eastAsia="Calibri" w:hAnsi="Times New Roman CYR" w:cs="Times New Roman CYR"/>
          <w:bCs/>
          <w:iCs/>
          <w:sz w:val="28"/>
          <w:szCs w:val="28"/>
        </w:rPr>
        <w:t>контрольных и экспертно-аналитических мероприятий</w:t>
      </w:r>
      <w:r w:rsidR="00044C3C">
        <w:rPr>
          <w:rFonts w:ascii="Times New Roman CYR" w:eastAsia="Calibri" w:hAnsi="Times New Roman CYR" w:cs="Times New Roman CYR"/>
          <w:bCs/>
          <w:iCs/>
          <w:sz w:val="28"/>
          <w:szCs w:val="28"/>
        </w:rPr>
        <w:t xml:space="preserve">: </w:t>
      </w:r>
      <w:r w:rsidR="00FE3EC7">
        <w:rPr>
          <w:rFonts w:ascii="Times New Roman CYR" w:eastAsia="Calibri" w:hAnsi="Times New Roman CYR" w:cs="Times New Roman CYR"/>
          <w:bCs/>
          <w:iCs/>
          <w:sz w:val="28"/>
          <w:szCs w:val="28"/>
        </w:rPr>
        <w:t xml:space="preserve">министерство финансов </w:t>
      </w:r>
      <w:r w:rsidR="00F46468">
        <w:rPr>
          <w:rFonts w:ascii="Times New Roman CYR" w:eastAsia="Calibri" w:hAnsi="Times New Roman CYR" w:cs="Times New Roman CYR"/>
          <w:bCs/>
          <w:iCs/>
          <w:sz w:val="28"/>
          <w:szCs w:val="28"/>
        </w:rPr>
        <w:t>Тульской области как орган</w:t>
      </w:r>
      <w:r w:rsidR="00F46468">
        <w:rPr>
          <w:rFonts w:eastAsiaTheme="minorHAnsi"/>
          <w:sz w:val="28"/>
          <w:szCs w:val="28"/>
          <w:lang w:eastAsia="en-US"/>
        </w:rPr>
        <w:t xml:space="preserve"> </w:t>
      </w:r>
      <w:r w:rsidR="00F46468" w:rsidRPr="00F46468">
        <w:rPr>
          <w:rFonts w:ascii="Times New Roman CYR" w:eastAsia="Calibri" w:hAnsi="Times New Roman CYR" w:cs="Times New Roman CYR"/>
          <w:bCs/>
          <w:iCs/>
          <w:sz w:val="28"/>
          <w:szCs w:val="28"/>
        </w:rPr>
        <w:t>исполнительной власти области, ответственный за составление и исполнение бюджета Тульской области</w:t>
      </w:r>
      <w:r w:rsidR="00F46468">
        <w:rPr>
          <w:rFonts w:ascii="Times New Roman CYR" w:eastAsia="Calibri" w:hAnsi="Times New Roman CYR" w:cs="Times New Roman CYR"/>
          <w:bCs/>
          <w:iCs/>
          <w:sz w:val="28"/>
          <w:szCs w:val="28"/>
        </w:rPr>
        <w:t>; главные администраторы бюджетных средств.</w:t>
      </w:r>
    </w:p>
    <w:p w:rsidR="00CE2DAE" w:rsidRDefault="00CE2DAE" w:rsidP="00AD472F">
      <w:pPr>
        <w:tabs>
          <w:tab w:val="left" w:pos="993"/>
          <w:tab w:val="left" w:pos="1276"/>
        </w:tabs>
        <w:spacing w:before="120" w:after="0" w:line="240" w:lineRule="auto"/>
        <w:ind w:firstLine="709"/>
        <w:jc w:val="both"/>
        <w:rPr>
          <w:rFonts w:ascii="Times New Roman" w:eastAsia="Times New Roman" w:hAnsi="Times New Roman" w:cs="Times New Roman"/>
          <w:sz w:val="28"/>
          <w:szCs w:val="28"/>
          <w:lang w:eastAsia="ru-RU"/>
        </w:rPr>
      </w:pPr>
      <w:r w:rsidRPr="00CE2DAE">
        <w:rPr>
          <w:rFonts w:ascii="Times New Roman" w:eastAsia="Times New Roman" w:hAnsi="Times New Roman" w:cs="Times New Roman"/>
          <w:sz w:val="28"/>
          <w:szCs w:val="28"/>
          <w:lang w:eastAsia="ru-RU"/>
        </w:rPr>
        <w:t xml:space="preserve">По результатам </w:t>
      </w:r>
      <w:r w:rsidR="00F46468" w:rsidRPr="00044C3C">
        <w:rPr>
          <w:rFonts w:ascii="Times New Roman CYR" w:eastAsia="Calibri" w:hAnsi="Times New Roman CYR" w:cs="Times New Roman CYR"/>
          <w:bCs/>
          <w:iCs/>
          <w:sz w:val="28"/>
          <w:szCs w:val="28"/>
        </w:rPr>
        <w:t>комплекса</w:t>
      </w:r>
      <w:r w:rsidR="00F46468" w:rsidRPr="00044C3C">
        <w:rPr>
          <w:bCs/>
        </w:rPr>
        <w:t xml:space="preserve"> </w:t>
      </w:r>
      <w:r w:rsidR="00F46468" w:rsidRPr="00044C3C">
        <w:rPr>
          <w:rFonts w:ascii="Times New Roman CYR" w:eastAsia="Calibri" w:hAnsi="Times New Roman CYR" w:cs="Times New Roman CYR"/>
          <w:bCs/>
          <w:iCs/>
          <w:sz w:val="28"/>
          <w:szCs w:val="28"/>
        </w:rPr>
        <w:t>контрольных и экспертно-аналитических мероприятий</w:t>
      </w:r>
      <w:r w:rsidR="00F46468" w:rsidRPr="00CE2DAE">
        <w:rPr>
          <w:rFonts w:ascii="Times New Roman" w:eastAsia="Times New Roman" w:hAnsi="Times New Roman" w:cs="Times New Roman"/>
          <w:sz w:val="28"/>
          <w:szCs w:val="28"/>
          <w:lang w:eastAsia="ru-RU"/>
        </w:rPr>
        <w:t xml:space="preserve"> </w:t>
      </w:r>
      <w:r w:rsidRPr="00CE2DAE">
        <w:rPr>
          <w:rFonts w:ascii="Times New Roman" w:eastAsia="Times New Roman" w:hAnsi="Times New Roman" w:cs="Times New Roman"/>
          <w:sz w:val="28"/>
          <w:szCs w:val="28"/>
          <w:lang w:eastAsia="ru-RU"/>
        </w:rPr>
        <w:t>установлено следующее.</w:t>
      </w:r>
    </w:p>
    <w:p w:rsidR="00F46468" w:rsidRPr="00F46468" w:rsidRDefault="00F46468" w:rsidP="00FD2396">
      <w:pPr>
        <w:widowControl w:val="0"/>
        <w:spacing w:before="120" w:after="0" w:line="240" w:lineRule="auto"/>
        <w:ind w:firstLine="709"/>
        <w:jc w:val="both"/>
        <w:rPr>
          <w:rFonts w:ascii="Times New Roman CYR" w:eastAsia="Calibri" w:hAnsi="Times New Roman CYR" w:cs="Times New Roman CYR"/>
          <w:bCs/>
          <w:iCs/>
          <w:sz w:val="28"/>
          <w:szCs w:val="28"/>
        </w:rPr>
      </w:pPr>
      <w:r w:rsidRPr="00F46468">
        <w:rPr>
          <w:spacing w:val="-4"/>
          <w:sz w:val="28"/>
          <w:szCs w:val="28"/>
        </w:rPr>
        <w:t>1</w:t>
      </w:r>
      <w:r w:rsidRPr="00F46468">
        <w:rPr>
          <w:rFonts w:ascii="Times New Roman CYR" w:eastAsia="Calibri" w:hAnsi="Times New Roman CYR" w:cs="Times New Roman CYR"/>
          <w:bCs/>
          <w:iCs/>
          <w:sz w:val="28"/>
          <w:szCs w:val="28"/>
        </w:rPr>
        <w:t xml:space="preserve">. Годовой отчет об исполнении бюджета Тульской области за 2020 </w:t>
      </w:r>
      <w:proofErr w:type="gramStart"/>
      <w:r w:rsidRPr="00F46468">
        <w:rPr>
          <w:rFonts w:ascii="Times New Roman CYR" w:eastAsia="Calibri" w:hAnsi="Times New Roman CYR" w:cs="Times New Roman CYR"/>
          <w:bCs/>
          <w:iCs/>
          <w:sz w:val="28"/>
          <w:szCs w:val="28"/>
        </w:rPr>
        <w:t xml:space="preserve">год </w:t>
      </w:r>
      <w:r w:rsidR="003D1EEF">
        <w:rPr>
          <w:rFonts w:ascii="Times New Roman CYR" w:eastAsia="Calibri" w:hAnsi="Times New Roman CYR" w:cs="Times New Roman CYR"/>
          <w:bCs/>
          <w:iCs/>
          <w:sz w:val="28"/>
          <w:szCs w:val="28"/>
        </w:rPr>
        <w:t xml:space="preserve"> (</w:t>
      </w:r>
      <w:proofErr w:type="gramEnd"/>
      <w:r w:rsidR="003D1EEF">
        <w:rPr>
          <w:rFonts w:ascii="Times New Roman CYR" w:eastAsia="Calibri" w:hAnsi="Times New Roman CYR" w:cs="Times New Roman CYR"/>
          <w:bCs/>
          <w:iCs/>
          <w:sz w:val="28"/>
          <w:szCs w:val="28"/>
        </w:rPr>
        <w:t xml:space="preserve">далее – Годовой отчет) </w:t>
      </w:r>
      <w:r w:rsidRPr="00F46468">
        <w:rPr>
          <w:rFonts w:ascii="Times New Roman CYR" w:eastAsia="Calibri" w:hAnsi="Times New Roman CYR" w:cs="Times New Roman CYR"/>
          <w:bCs/>
          <w:iCs/>
          <w:sz w:val="28"/>
          <w:szCs w:val="28"/>
        </w:rPr>
        <w:t xml:space="preserve">представлен правительством </w:t>
      </w:r>
      <w:r w:rsidR="003D1EEF">
        <w:rPr>
          <w:rFonts w:ascii="Times New Roman CYR" w:eastAsia="Calibri" w:hAnsi="Times New Roman CYR" w:cs="Times New Roman CYR"/>
          <w:bCs/>
          <w:iCs/>
          <w:sz w:val="28"/>
          <w:szCs w:val="28"/>
        </w:rPr>
        <w:t xml:space="preserve">Тульской </w:t>
      </w:r>
      <w:r w:rsidRPr="00F46468">
        <w:rPr>
          <w:rFonts w:ascii="Times New Roman CYR" w:eastAsia="Calibri" w:hAnsi="Times New Roman CYR" w:cs="Times New Roman CYR"/>
          <w:bCs/>
          <w:iCs/>
          <w:sz w:val="28"/>
          <w:szCs w:val="28"/>
        </w:rPr>
        <w:t xml:space="preserve">области в счетную палату 06.04.2021 в законодательно установленный срок. Документы и материалы, представленные одновременно с Годовым отчетом, соответствуют перечню, установленному частью 2 статьи 30 </w:t>
      </w:r>
      <w:r w:rsidR="003D1EEF" w:rsidRPr="003D1EEF">
        <w:rPr>
          <w:rFonts w:ascii="Times New Roman CYR" w:eastAsia="Calibri" w:hAnsi="Times New Roman CYR" w:cs="Times New Roman CYR"/>
          <w:bCs/>
          <w:iCs/>
          <w:sz w:val="28"/>
          <w:szCs w:val="28"/>
        </w:rPr>
        <w:t>Закон</w:t>
      </w:r>
      <w:r w:rsidR="003D1EEF">
        <w:rPr>
          <w:rFonts w:ascii="Times New Roman CYR" w:eastAsia="Calibri" w:hAnsi="Times New Roman CYR" w:cs="Times New Roman CYR"/>
          <w:bCs/>
          <w:iCs/>
          <w:sz w:val="28"/>
          <w:szCs w:val="28"/>
        </w:rPr>
        <w:t>а</w:t>
      </w:r>
      <w:r w:rsidR="003D1EEF" w:rsidRPr="003D1EEF">
        <w:rPr>
          <w:rFonts w:ascii="Times New Roman CYR" w:eastAsia="Calibri" w:hAnsi="Times New Roman CYR" w:cs="Times New Roman CYR"/>
          <w:bCs/>
          <w:iCs/>
          <w:sz w:val="28"/>
          <w:szCs w:val="28"/>
        </w:rPr>
        <w:t xml:space="preserve"> Тульской области от 09.06.2008 №1015-ЗТО «О бюджетном процессе в Тульской области»</w:t>
      </w:r>
      <w:r w:rsidR="003D1EEF" w:rsidRPr="00F46468">
        <w:rPr>
          <w:rFonts w:ascii="Times New Roman CYR" w:eastAsia="Calibri" w:hAnsi="Times New Roman CYR" w:cs="Times New Roman CYR"/>
          <w:bCs/>
          <w:iCs/>
          <w:sz w:val="28"/>
          <w:szCs w:val="28"/>
        </w:rPr>
        <w:t xml:space="preserve"> </w:t>
      </w:r>
      <w:r w:rsidR="003D1EEF">
        <w:rPr>
          <w:rFonts w:ascii="Times New Roman CYR" w:eastAsia="Calibri" w:hAnsi="Times New Roman CYR" w:cs="Times New Roman CYR"/>
          <w:bCs/>
          <w:iCs/>
          <w:sz w:val="28"/>
          <w:szCs w:val="28"/>
        </w:rPr>
        <w:t>(далее –</w:t>
      </w:r>
      <w:r w:rsidR="003D1EEF" w:rsidRPr="003D1EEF">
        <w:rPr>
          <w:rFonts w:ascii="Times New Roman CYR" w:eastAsia="Calibri" w:hAnsi="Times New Roman CYR" w:cs="Times New Roman CYR"/>
          <w:bCs/>
          <w:iCs/>
          <w:sz w:val="28"/>
          <w:szCs w:val="28"/>
        </w:rPr>
        <w:t xml:space="preserve"> </w:t>
      </w:r>
      <w:r w:rsidR="003D1EEF" w:rsidRPr="00F46468">
        <w:rPr>
          <w:rFonts w:ascii="Times New Roman CYR" w:eastAsia="Calibri" w:hAnsi="Times New Roman CYR" w:cs="Times New Roman CYR"/>
          <w:bCs/>
          <w:iCs/>
          <w:sz w:val="28"/>
          <w:szCs w:val="28"/>
        </w:rPr>
        <w:t>Закон о бюджетном процессе</w:t>
      </w:r>
      <w:r w:rsidR="003D1EEF">
        <w:rPr>
          <w:rFonts w:ascii="Times New Roman CYR" w:eastAsia="Calibri" w:hAnsi="Times New Roman CYR" w:cs="Times New Roman CYR"/>
          <w:bCs/>
          <w:iCs/>
          <w:sz w:val="28"/>
          <w:szCs w:val="28"/>
        </w:rPr>
        <w:t>)</w:t>
      </w:r>
      <w:r w:rsidRPr="00F46468">
        <w:rPr>
          <w:rFonts w:ascii="Times New Roman CYR" w:eastAsia="Calibri" w:hAnsi="Times New Roman CYR" w:cs="Times New Roman CYR"/>
          <w:bCs/>
          <w:iCs/>
          <w:sz w:val="28"/>
          <w:szCs w:val="28"/>
        </w:rPr>
        <w:t>.</w:t>
      </w:r>
    </w:p>
    <w:p w:rsidR="00F46468" w:rsidRDefault="00F46468" w:rsidP="00FD2396">
      <w:pPr>
        <w:tabs>
          <w:tab w:val="left" w:pos="1276"/>
        </w:tabs>
        <w:spacing w:after="0" w:line="240" w:lineRule="auto"/>
        <w:ind w:firstLine="709"/>
        <w:jc w:val="both"/>
        <w:rPr>
          <w:rFonts w:ascii="Times New Roman CYR" w:eastAsia="Calibri" w:hAnsi="Times New Roman CYR" w:cs="Times New Roman CYR"/>
          <w:bCs/>
          <w:iCs/>
          <w:sz w:val="28"/>
          <w:szCs w:val="28"/>
        </w:rPr>
      </w:pPr>
      <w:r w:rsidRPr="00F46468">
        <w:rPr>
          <w:rFonts w:ascii="Times New Roman CYR" w:eastAsia="Calibri" w:hAnsi="Times New Roman CYR" w:cs="Times New Roman CYR"/>
          <w:bCs/>
          <w:iCs/>
          <w:sz w:val="28"/>
          <w:szCs w:val="28"/>
        </w:rPr>
        <w:t xml:space="preserve">В соответствии с частью 1 статьи 30 </w:t>
      </w:r>
      <w:r w:rsidR="003D1EEF" w:rsidRPr="00F46468">
        <w:rPr>
          <w:rFonts w:ascii="Times New Roman CYR" w:eastAsia="Calibri" w:hAnsi="Times New Roman CYR" w:cs="Times New Roman CYR"/>
          <w:bCs/>
          <w:iCs/>
          <w:sz w:val="28"/>
          <w:szCs w:val="28"/>
        </w:rPr>
        <w:t xml:space="preserve">Закона о бюджетном процессе </w:t>
      </w:r>
      <w:r w:rsidRPr="00F46468">
        <w:rPr>
          <w:rFonts w:ascii="Times New Roman CYR" w:eastAsia="Calibri" w:hAnsi="Times New Roman CYR" w:cs="Times New Roman CYR"/>
          <w:bCs/>
          <w:iCs/>
          <w:sz w:val="28"/>
          <w:szCs w:val="28"/>
        </w:rPr>
        <w:t xml:space="preserve">для осуществления внешней проверки в счетную палату </w:t>
      </w:r>
      <w:r w:rsidR="003D1EEF" w:rsidRPr="00F46468">
        <w:rPr>
          <w:rFonts w:ascii="Times New Roman CYR" w:eastAsia="Calibri" w:hAnsi="Times New Roman CYR" w:cs="Times New Roman CYR"/>
          <w:bCs/>
          <w:iCs/>
          <w:sz w:val="28"/>
          <w:szCs w:val="28"/>
        </w:rPr>
        <w:t>годовую бюджетную отчетность</w:t>
      </w:r>
      <w:r w:rsidR="003D1EEF">
        <w:rPr>
          <w:rFonts w:ascii="Times New Roman CYR" w:eastAsia="Calibri" w:hAnsi="Times New Roman CYR" w:cs="Times New Roman CYR"/>
          <w:bCs/>
          <w:iCs/>
          <w:sz w:val="28"/>
          <w:szCs w:val="28"/>
        </w:rPr>
        <w:t xml:space="preserve"> за 2020 год</w:t>
      </w:r>
      <w:r w:rsidR="003D1EEF" w:rsidRPr="00F46468">
        <w:rPr>
          <w:rFonts w:ascii="Times New Roman CYR" w:eastAsia="Calibri" w:hAnsi="Times New Roman CYR" w:cs="Times New Roman CYR"/>
          <w:bCs/>
          <w:iCs/>
          <w:sz w:val="28"/>
          <w:szCs w:val="28"/>
        </w:rPr>
        <w:t xml:space="preserve"> представили </w:t>
      </w:r>
      <w:r w:rsidRPr="00F46468">
        <w:rPr>
          <w:rFonts w:ascii="Times New Roman CYR" w:eastAsia="Calibri" w:hAnsi="Times New Roman CYR" w:cs="Times New Roman CYR"/>
          <w:bCs/>
          <w:iCs/>
          <w:sz w:val="28"/>
          <w:szCs w:val="28"/>
        </w:rPr>
        <w:t>все главные администраторы бюджетных средств. Бюджетная отчетность представлена с соблюдением</w:t>
      </w:r>
      <w:r w:rsidR="003D1EEF">
        <w:rPr>
          <w:rFonts w:ascii="Times New Roman CYR" w:eastAsia="Calibri" w:hAnsi="Times New Roman CYR" w:cs="Times New Roman CYR"/>
          <w:bCs/>
          <w:iCs/>
          <w:sz w:val="28"/>
          <w:szCs w:val="28"/>
        </w:rPr>
        <w:t xml:space="preserve"> законодательно установленных</w:t>
      </w:r>
      <w:r w:rsidRPr="00F46468">
        <w:rPr>
          <w:rFonts w:ascii="Times New Roman CYR" w:eastAsia="Calibri" w:hAnsi="Times New Roman CYR" w:cs="Times New Roman CYR"/>
          <w:bCs/>
          <w:iCs/>
          <w:sz w:val="28"/>
          <w:szCs w:val="28"/>
        </w:rPr>
        <w:t xml:space="preserve"> сроков. </w:t>
      </w:r>
    </w:p>
    <w:p w:rsidR="00881DE6" w:rsidRPr="00AD472F" w:rsidRDefault="00881DE6" w:rsidP="00FD2396">
      <w:pPr>
        <w:tabs>
          <w:tab w:val="left" w:pos="1276"/>
        </w:tabs>
        <w:spacing w:before="120" w:after="0" w:line="240" w:lineRule="auto"/>
        <w:ind w:firstLine="709"/>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 xml:space="preserve">2. </w:t>
      </w:r>
      <w:r w:rsidRPr="00AD472F">
        <w:rPr>
          <w:rFonts w:ascii="Times New Roman CYR" w:eastAsia="Calibri" w:hAnsi="Times New Roman CYR" w:cs="Times New Roman CYR"/>
          <w:bCs/>
          <w:iCs/>
          <w:sz w:val="28"/>
          <w:szCs w:val="28"/>
        </w:rPr>
        <w:t xml:space="preserve">По данным Годового отчета, основные характеристики исполнения бюджета </w:t>
      </w:r>
      <w:r w:rsidR="00B60B6B">
        <w:rPr>
          <w:rFonts w:ascii="Times New Roman CYR" w:eastAsia="Calibri" w:hAnsi="Times New Roman CYR" w:cs="Times New Roman CYR"/>
          <w:bCs/>
          <w:iCs/>
          <w:sz w:val="28"/>
          <w:szCs w:val="28"/>
        </w:rPr>
        <w:t xml:space="preserve">Тульской </w:t>
      </w:r>
      <w:r w:rsidRPr="00AD472F">
        <w:rPr>
          <w:rFonts w:ascii="Times New Roman CYR" w:eastAsia="Calibri" w:hAnsi="Times New Roman CYR" w:cs="Times New Roman CYR"/>
          <w:bCs/>
          <w:iCs/>
          <w:sz w:val="28"/>
          <w:szCs w:val="28"/>
        </w:rPr>
        <w:t>области</w:t>
      </w:r>
      <w:r w:rsidR="00B60B6B">
        <w:rPr>
          <w:rFonts w:ascii="Times New Roman CYR" w:eastAsia="Calibri" w:hAnsi="Times New Roman CYR" w:cs="Times New Roman CYR"/>
          <w:bCs/>
          <w:iCs/>
          <w:sz w:val="28"/>
          <w:szCs w:val="28"/>
        </w:rPr>
        <w:t xml:space="preserve"> </w:t>
      </w:r>
      <w:r w:rsidRPr="00AD472F">
        <w:rPr>
          <w:rFonts w:ascii="Times New Roman CYR" w:eastAsia="Calibri" w:hAnsi="Times New Roman CYR" w:cs="Times New Roman CYR"/>
          <w:bCs/>
          <w:iCs/>
          <w:sz w:val="28"/>
          <w:szCs w:val="28"/>
        </w:rPr>
        <w:t>за 2020 год</w:t>
      </w:r>
      <w:r w:rsidR="00B60B6B">
        <w:rPr>
          <w:rFonts w:ascii="Times New Roman CYR" w:eastAsia="Calibri" w:hAnsi="Times New Roman CYR" w:cs="Times New Roman CYR"/>
          <w:bCs/>
          <w:iCs/>
          <w:sz w:val="28"/>
          <w:szCs w:val="28"/>
        </w:rPr>
        <w:t xml:space="preserve"> (далее – бюджет области)</w:t>
      </w:r>
      <w:r w:rsidR="00B60B6B" w:rsidRPr="00AD472F">
        <w:rPr>
          <w:rFonts w:ascii="Times New Roman CYR" w:eastAsia="Calibri" w:hAnsi="Times New Roman CYR" w:cs="Times New Roman CYR"/>
          <w:bCs/>
          <w:iCs/>
          <w:sz w:val="28"/>
          <w:szCs w:val="28"/>
        </w:rPr>
        <w:t xml:space="preserve"> </w:t>
      </w:r>
      <w:r w:rsidRPr="00AD472F">
        <w:rPr>
          <w:rFonts w:ascii="Times New Roman CYR" w:eastAsia="Calibri" w:hAnsi="Times New Roman CYR" w:cs="Times New Roman CYR"/>
          <w:bCs/>
          <w:iCs/>
          <w:sz w:val="28"/>
          <w:szCs w:val="28"/>
        </w:rPr>
        <w:t>составили:</w:t>
      </w:r>
    </w:p>
    <w:p w:rsidR="00881DE6" w:rsidRPr="00AD472F" w:rsidRDefault="00881DE6" w:rsidP="00FD2396">
      <w:pPr>
        <w:tabs>
          <w:tab w:val="left" w:pos="1276"/>
        </w:tabs>
        <w:spacing w:after="0" w:line="240" w:lineRule="auto"/>
        <w:ind w:firstLine="709"/>
        <w:jc w:val="both"/>
        <w:rPr>
          <w:rFonts w:ascii="Times New Roman CYR" w:eastAsia="Calibri" w:hAnsi="Times New Roman CYR" w:cs="Times New Roman CYR"/>
          <w:bCs/>
          <w:iCs/>
          <w:sz w:val="28"/>
          <w:szCs w:val="28"/>
        </w:rPr>
      </w:pPr>
      <w:r w:rsidRPr="00AD472F">
        <w:rPr>
          <w:rFonts w:ascii="Times New Roman CYR" w:eastAsia="Calibri" w:hAnsi="Times New Roman CYR" w:cs="Times New Roman CYR"/>
          <w:bCs/>
          <w:iCs/>
          <w:sz w:val="28"/>
          <w:szCs w:val="28"/>
        </w:rPr>
        <w:t>доходы бюджета области – 94 360 123,1 тыс. рублей, или 103,4% от законодательно утвержденного объема доходов;</w:t>
      </w:r>
    </w:p>
    <w:p w:rsidR="00881DE6" w:rsidRPr="00AD472F" w:rsidRDefault="00881DE6" w:rsidP="00FD2396">
      <w:pPr>
        <w:tabs>
          <w:tab w:val="left" w:pos="284"/>
          <w:tab w:val="left" w:pos="709"/>
          <w:tab w:val="left" w:pos="993"/>
        </w:tabs>
        <w:spacing w:after="0" w:line="240" w:lineRule="auto"/>
        <w:ind w:firstLine="709"/>
        <w:jc w:val="both"/>
        <w:rPr>
          <w:rFonts w:ascii="Times New Roman CYR" w:eastAsia="Calibri" w:hAnsi="Times New Roman CYR" w:cs="Times New Roman CYR"/>
          <w:bCs/>
          <w:iCs/>
          <w:sz w:val="28"/>
          <w:szCs w:val="28"/>
        </w:rPr>
      </w:pPr>
      <w:r w:rsidRPr="00AD472F">
        <w:rPr>
          <w:rFonts w:ascii="Times New Roman CYR" w:eastAsia="Calibri" w:hAnsi="Times New Roman CYR" w:cs="Times New Roman CYR"/>
          <w:bCs/>
          <w:iCs/>
          <w:sz w:val="28"/>
          <w:szCs w:val="28"/>
        </w:rPr>
        <w:t>расходы бюджета области – 96 189 106,6 тыс. рублей, 98,2% законодательно утвержденного объема расходов и 95,6%, показателя, утвержденного сводной бюджетной росписью.</w:t>
      </w:r>
    </w:p>
    <w:p w:rsidR="00881DE6" w:rsidRDefault="00881DE6" w:rsidP="00AD472F">
      <w:pPr>
        <w:spacing w:line="240" w:lineRule="auto"/>
        <w:ind w:firstLine="708"/>
        <w:jc w:val="both"/>
        <w:rPr>
          <w:sz w:val="28"/>
          <w:szCs w:val="28"/>
        </w:rPr>
      </w:pPr>
      <w:r w:rsidRPr="00881DE6">
        <w:rPr>
          <w:rFonts w:ascii="Times New Roman CYR" w:eastAsia="Calibri" w:hAnsi="Times New Roman CYR" w:cs="Times New Roman CYR"/>
          <w:bCs/>
          <w:iCs/>
          <w:sz w:val="28"/>
          <w:szCs w:val="28"/>
        </w:rPr>
        <w:t xml:space="preserve">В 2020 году бюджет области исполнен с </w:t>
      </w:r>
      <w:r w:rsidRPr="00881DE6">
        <w:rPr>
          <w:rFonts w:ascii="Times New Roman CYR" w:eastAsia="Calibri" w:hAnsi="Times New Roman CYR" w:cs="Times New Roman CYR"/>
          <w:bCs/>
          <w:i/>
          <w:iCs/>
          <w:sz w:val="28"/>
          <w:szCs w:val="28"/>
        </w:rPr>
        <w:t>дефицитом</w:t>
      </w:r>
      <w:r w:rsidRPr="00881DE6">
        <w:rPr>
          <w:rFonts w:ascii="Times New Roman CYR" w:eastAsia="Calibri" w:hAnsi="Times New Roman CYR" w:cs="Times New Roman CYR"/>
          <w:bCs/>
          <w:iCs/>
          <w:sz w:val="28"/>
          <w:szCs w:val="28"/>
        </w:rPr>
        <w:t xml:space="preserve"> на сумму 1 828 983,5 тыс. рублей, или 2,8% к объему доходов бюджета области без учета утвержденного объема безвозмездных поступлений</w:t>
      </w:r>
      <w:r w:rsidRPr="00E40290">
        <w:rPr>
          <w:rFonts w:eastAsia="Calibri"/>
          <w:sz w:val="28"/>
          <w:szCs w:val="28"/>
        </w:rPr>
        <w:t>.</w:t>
      </w:r>
      <w:r w:rsidRPr="00E40290">
        <w:rPr>
          <w:sz w:val="28"/>
          <w:szCs w:val="28"/>
        </w:rPr>
        <w:t xml:space="preserve"> </w:t>
      </w:r>
    </w:p>
    <w:p w:rsidR="00881DE6" w:rsidRPr="00881DE6" w:rsidRDefault="00FD2396" w:rsidP="00FD2396">
      <w:pPr>
        <w:spacing w:after="0" w:line="240" w:lineRule="auto"/>
        <w:ind w:firstLine="709"/>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 xml:space="preserve">3. </w:t>
      </w:r>
      <w:r w:rsidR="00881DE6" w:rsidRPr="00881DE6">
        <w:rPr>
          <w:rFonts w:ascii="Times New Roman CYR" w:eastAsia="Calibri" w:hAnsi="Times New Roman CYR" w:cs="Times New Roman CYR"/>
          <w:bCs/>
          <w:iCs/>
          <w:sz w:val="28"/>
          <w:szCs w:val="28"/>
        </w:rPr>
        <w:t xml:space="preserve">Поступления </w:t>
      </w:r>
      <w:r w:rsidR="00881DE6" w:rsidRPr="00881DE6">
        <w:rPr>
          <w:rFonts w:ascii="Times New Roman CYR" w:eastAsia="Calibri" w:hAnsi="Times New Roman CYR" w:cs="Times New Roman CYR"/>
          <w:bCs/>
          <w:i/>
          <w:iCs/>
          <w:sz w:val="28"/>
          <w:szCs w:val="28"/>
        </w:rPr>
        <w:t>налоговых и неналоговых доходов</w:t>
      </w:r>
      <w:r w:rsidR="00881DE6" w:rsidRPr="00881DE6">
        <w:rPr>
          <w:rFonts w:ascii="Times New Roman CYR" w:eastAsia="Calibri" w:hAnsi="Times New Roman CYR" w:cs="Times New Roman CYR"/>
          <w:bCs/>
          <w:iCs/>
          <w:sz w:val="28"/>
          <w:szCs w:val="28"/>
        </w:rPr>
        <w:t xml:space="preserve"> в 2020 году составили 64 988 903,7 тыс. рублей, или 104,2% законодательно утвержденного показателя.</w:t>
      </w:r>
      <w:r w:rsidR="00B60B6B" w:rsidRPr="00B60B6B">
        <w:rPr>
          <w:sz w:val="28"/>
          <w:szCs w:val="28"/>
        </w:rPr>
        <w:t xml:space="preserve"> </w:t>
      </w:r>
      <w:r w:rsidR="00B60B6B" w:rsidRPr="00B60B6B">
        <w:rPr>
          <w:rFonts w:ascii="Times New Roman" w:hAnsi="Times New Roman" w:cs="Times New Roman"/>
          <w:sz w:val="28"/>
          <w:szCs w:val="28"/>
        </w:rPr>
        <w:t xml:space="preserve">Несмотря на сложную экономическую ситуацию, сложившуюся в результате распространения </w:t>
      </w:r>
      <w:proofErr w:type="spellStart"/>
      <w:r w:rsidR="00B60B6B" w:rsidRPr="00B60B6B">
        <w:rPr>
          <w:rFonts w:ascii="Times New Roman" w:hAnsi="Times New Roman" w:cs="Times New Roman"/>
          <w:sz w:val="28"/>
          <w:szCs w:val="28"/>
        </w:rPr>
        <w:t>короновирусной</w:t>
      </w:r>
      <w:proofErr w:type="spellEnd"/>
      <w:r w:rsidR="00B60B6B" w:rsidRPr="00B60B6B">
        <w:rPr>
          <w:rFonts w:ascii="Times New Roman" w:hAnsi="Times New Roman" w:cs="Times New Roman"/>
          <w:sz w:val="28"/>
          <w:szCs w:val="28"/>
        </w:rPr>
        <w:t xml:space="preserve"> инфекции в 2020 году, </w:t>
      </w:r>
      <w:r w:rsidR="00B60B6B" w:rsidRPr="00B60B6B">
        <w:rPr>
          <w:rFonts w:ascii="Times New Roman" w:hAnsi="Times New Roman" w:cs="Times New Roman"/>
          <w:sz w:val="28"/>
          <w:szCs w:val="28"/>
        </w:rPr>
        <w:lastRenderedPageBreak/>
        <w:t>налоговые и неналоговые доходы в 2020 году поступили практически на уровне 2019 года (99,5% к уровню 2019 года).</w:t>
      </w:r>
      <w:r w:rsidR="00B60B6B" w:rsidRPr="00E40290">
        <w:rPr>
          <w:sz w:val="28"/>
          <w:szCs w:val="28"/>
        </w:rPr>
        <w:t xml:space="preserve"> </w:t>
      </w:r>
      <w:r w:rsidR="00B60B6B">
        <w:rPr>
          <w:sz w:val="28"/>
          <w:szCs w:val="28"/>
        </w:rPr>
        <w:t xml:space="preserve"> </w:t>
      </w:r>
    </w:p>
    <w:p w:rsidR="00881DE6" w:rsidRPr="00881DE6" w:rsidRDefault="00881DE6" w:rsidP="00FD2396">
      <w:pPr>
        <w:spacing w:after="0" w:line="240" w:lineRule="auto"/>
        <w:ind w:firstLine="709"/>
        <w:jc w:val="both"/>
        <w:rPr>
          <w:rFonts w:ascii="Times New Roman CYR" w:eastAsia="Calibri" w:hAnsi="Times New Roman CYR" w:cs="Times New Roman CYR"/>
          <w:bCs/>
          <w:iCs/>
          <w:sz w:val="28"/>
          <w:szCs w:val="28"/>
        </w:rPr>
      </w:pPr>
      <w:r w:rsidRPr="00881DE6">
        <w:rPr>
          <w:rFonts w:ascii="Times New Roman CYR" w:eastAsia="Calibri" w:hAnsi="Times New Roman CYR" w:cs="Times New Roman CYR"/>
          <w:bCs/>
          <w:i/>
          <w:iCs/>
          <w:sz w:val="28"/>
          <w:szCs w:val="28"/>
        </w:rPr>
        <w:t>Безвозмездные поступления</w:t>
      </w:r>
      <w:r w:rsidRPr="00881DE6">
        <w:rPr>
          <w:rFonts w:ascii="Times New Roman CYR" w:eastAsia="Calibri" w:hAnsi="Times New Roman CYR" w:cs="Times New Roman CYR"/>
          <w:bCs/>
          <w:iCs/>
          <w:sz w:val="28"/>
          <w:szCs w:val="28"/>
        </w:rPr>
        <w:t xml:space="preserve"> в бюджет области в 2020 году составили 29 371 219,4 тыс. рублей, или 101,7% от законодательно утвержденных показателей, к уровню 2019 года – 172,5%. Доля безвозмездных поступлений в общем объеме доходов в 2020 году составила 31,1% (в 2019 году – 20,7%), что обусловлено увеличением безвозмездных поступлений из федерального бюджета. </w:t>
      </w:r>
    </w:p>
    <w:p w:rsidR="00167A23" w:rsidRPr="00167A23" w:rsidRDefault="00FD2396" w:rsidP="00B60B6B">
      <w:pPr>
        <w:tabs>
          <w:tab w:val="left" w:pos="1260"/>
        </w:tabs>
        <w:spacing w:before="120" w:after="0" w:line="240" w:lineRule="auto"/>
        <w:ind w:firstLine="709"/>
        <w:jc w:val="both"/>
        <w:rPr>
          <w:rFonts w:ascii="Times New Roman CYR" w:eastAsia="Calibri" w:hAnsi="Times New Roman CYR" w:cs="Times New Roman CYR"/>
          <w:bCs/>
          <w:iCs/>
          <w:sz w:val="28"/>
          <w:szCs w:val="28"/>
        </w:rPr>
      </w:pPr>
      <w:r w:rsidRPr="00FD2396">
        <w:rPr>
          <w:rFonts w:ascii="Times New Roman" w:hAnsi="Times New Roman" w:cs="Times New Roman"/>
          <w:sz w:val="28"/>
          <w:szCs w:val="28"/>
        </w:rPr>
        <w:t>4</w:t>
      </w:r>
      <w:r w:rsidR="00167A23" w:rsidRPr="00FD2396">
        <w:rPr>
          <w:rFonts w:ascii="Times New Roman" w:eastAsia="Calibri" w:hAnsi="Times New Roman" w:cs="Times New Roman"/>
          <w:bCs/>
          <w:iCs/>
          <w:sz w:val="28"/>
          <w:szCs w:val="28"/>
        </w:rPr>
        <w:t>.</w:t>
      </w:r>
      <w:r w:rsidR="00167A23" w:rsidRPr="00167A23">
        <w:rPr>
          <w:rFonts w:ascii="Times New Roman CYR" w:eastAsia="Calibri" w:hAnsi="Times New Roman CYR" w:cs="Times New Roman CYR"/>
          <w:bCs/>
          <w:iCs/>
          <w:sz w:val="28"/>
          <w:szCs w:val="28"/>
        </w:rPr>
        <w:t xml:space="preserve"> В 2020 году исполнение расходов бюджета области осуществлял 31 ГРБС. Высокий уровень исполнения расходов (более 99%) отмечен по следующим ГРБС: комитет по делам ЗАГС и обеспечению мировых судей в </w:t>
      </w:r>
      <w:r w:rsidR="00B60B6B">
        <w:rPr>
          <w:rFonts w:ascii="Times New Roman CYR" w:eastAsia="Calibri" w:hAnsi="Times New Roman CYR" w:cs="Times New Roman CYR"/>
          <w:bCs/>
          <w:iCs/>
          <w:sz w:val="28"/>
          <w:szCs w:val="28"/>
        </w:rPr>
        <w:t xml:space="preserve">Тульской </w:t>
      </w:r>
      <w:r w:rsidR="00167A23" w:rsidRPr="00167A23">
        <w:rPr>
          <w:rFonts w:ascii="Times New Roman CYR" w:eastAsia="Calibri" w:hAnsi="Times New Roman CYR" w:cs="Times New Roman CYR"/>
          <w:bCs/>
          <w:iCs/>
          <w:sz w:val="28"/>
          <w:szCs w:val="28"/>
        </w:rPr>
        <w:t xml:space="preserve">области; министерство экономического развития </w:t>
      </w:r>
      <w:r w:rsidR="00B60B6B">
        <w:rPr>
          <w:rFonts w:ascii="Times New Roman CYR" w:eastAsia="Calibri" w:hAnsi="Times New Roman CYR" w:cs="Times New Roman CYR"/>
          <w:bCs/>
          <w:iCs/>
          <w:sz w:val="28"/>
          <w:szCs w:val="28"/>
        </w:rPr>
        <w:t xml:space="preserve">Тульской </w:t>
      </w:r>
      <w:r w:rsidR="00167A23" w:rsidRPr="00167A23">
        <w:rPr>
          <w:rFonts w:ascii="Times New Roman CYR" w:eastAsia="Calibri" w:hAnsi="Times New Roman CYR" w:cs="Times New Roman CYR"/>
          <w:bCs/>
          <w:iCs/>
          <w:sz w:val="28"/>
          <w:szCs w:val="28"/>
        </w:rPr>
        <w:t>области; комитет</w:t>
      </w:r>
      <w:r w:rsidR="00B60B6B">
        <w:rPr>
          <w:rFonts w:ascii="Times New Roman CYR" w:eastAsia="Calibri" w:hAnsi="Times New Roman CYR" w:cs="Times New Roman CYR"/>
          <w:bCs/>
          <w:iCs/>
          <w:sz w:val="28"/>
          <w:szCs w:val="28"/>
        </w:rPr>
        <w:t xml:space="preserve"> Тульской</w:t>
      </w:r>
      <w:r w:rsidR="00167A23" w:rsidRPr="00167A23">
        <w:rPr>
          <w:rFonts w:ascii="Times New Roman CYR" w:eastAsia="Calibri" w:hAnsi="Times New Roman CYR" w:cs="Times New Roman CYR"/>
          <w:bCs/>
          <w:iCs/>
          <w:sz w:val="28"/>
          <w:szCs w:val="28"/>
        </w:rPr>
        <w:t xml:space="preserve"> области по печати</w:t>
      </w:r>
      <w:r w:rsidR="00B60B6B">
        <w:rPr>
          <w:rFonts w:ascii="Times New Roman CYR" w:eastAsia="Calibri" w:hAnsi="Times New Roman CYR" w:cs="Times New Roman CYR"/>
          <w:bCs/>
          <w:iCs/>
          <w:sz w:val="28"/>
          <w:szCs w:val="28"/>
        </w:rPr>
        <w:t xml:space="preserve"> и массовым коммуникациям</w:t>
      </w:r>
      <w:r w:rsidR="00167A23" w:rsidRPr="00167A23">
        <w:rPr>
          <w:rFonts w:ascii="Times New Roman CYR" w:eastAsia="Calibri" w:hAnsi="Times New Roman CYR" w:cs="Times New Roman CYR"/>
          <w:bCs/>
          <w:iCs/>
          <w:sz w:val="28"/>
          <w:szCs w:val="28"/>
        </w:rPr>
        <w:t>; уполномоченны</w:t>
      </w:r>
      <w:r w:rsidR="00B60B6B">
        <w:rPr>
          <w:rFonts w:ascii="Times New Roman CYR" w:eastAsia="Calibri" w:hAnsi="Times New Roman CYR" w:cs="Times New Roman CYR"/>
          <w:bCs/>
          <w:iCs/>
          <w:sz w:val="28"/>
          <w:szCs w:val="28"/>
        </w:rPr>
        <w:t xml:space="preserve">й </w:t>
      </w:r>
      <w:r w:rsidR="00B60B6B" w:rsidRPr="00B60B6B">
        <w:rPr>
          <w:rFonts w:ascii="Times New Roman CYR" w:eastAsia="Calibri" w:hAnsi="Times New Roman CYR" w:cs="Times New Roman CYR"/>
          <w:bCs/>
          <w:iCs/>
          <w:sz w:val="28"/>
          <w:szCs w:val="28"/>
        </w:rPr>
        <w:t>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w:t>
      </w:r>
      <w:r w:rsidR="00167A23" w:rsidRPr="00167A23">
        <w:rPr>
          <w:rFonts w:ascii="Times New Roman CYR" w:eastAsia="Calibri" w:hAnsi="Times New Roman CYR" w:cs="Times New Roman CYR"/>
          <w:bCs/>
          <w:iCs/>
          <w:sz w:val="28"/>
          <w:szCs w:val="28"/>
        </w:rPr>
        <w:t xml:space="preserve">; комитет </w:t>
      </w:r>
      <w:r w:rsidR="00867ACE">
        <w:rPr>
          <w:rFonts w:ascii="Times New Roman CYR" w:eastAsia="Calibri" w:hAnsi="Times New Roman CYR" w:cs="Times New Roman CYR"/>
          <w:bCs/>
          <w:iCs/>
          <w:sz w:val="28"/>
          <w:szCs w:val="28"/>
        </w:rPr>
        <w:t xml:space="preserve">Тульской </w:t>
      </w:r>
      <w:r w:rsidR="00167A23" w:rsidRPr="00167A23">
        <w:rPr>
          <w:rFonts w:ascii="Times New Roman CYR" w:eastAsia="Calibri" w:hAnsi="Times New Roman CYR" w:cs="Times New Roman CYR"/>
          <w:bCs/>
          <w:iCs/>
          <w:sz w:val="28"/>
          <w:szCs w:val="28"/>
        </w:rPr>
        <w:t xml:space="preserve">области по тарифам. </w:t>
      </w:r>
    </w:p>
    <w:p w:rsidR="00167A23" w:rsidRPr="000C51E9" w:rsidRDefault="00167A23" w:rsidP="000C51E9">
      <w:pPr>
        <w:spacing w:before="120" w:after="0" w:line="240" w:lineRule="auto"/>
        <w:ind w:firstLine="709"/>
        <w:jc w:val="both"/>
        <w:rPr>
          <w:rFonts w:ascii="Times New Roman" w:eastAsia="Calibri" w:hAnsi="Times New Roman" w:cs="Times New Roman"/>
          <w:bCs/>
          <w:iCs/>
          <w:sz w:val="28"/>
          <w:szCs w:val="28"/>
        </w:rPr>
      </w:pPr>
      <w:r w:rsidRPr="00167A23">
        <w:rPr>
          <w:rFonts w:ascii="Times New Roman CYR" w:eastAsia="Calibri" w:hAnsi="Times New Roman CYR" w:cs="Times New Roman CYR"/>
          <w:bCs/>
          <w:iCs/>
          <w:sz w:val="28"/>
          <w:szCs w:val="28"/>
        </w:rPr>
        <w:t>Ниже 90% плановые назначения исполнены комитет</w:t>
      </w:r>
      <w:r w:rsidR="00B60B6B">
        <w:rPr>
          <w:rFonts w:ascii="Times New Roman CYR" w:eastAsia="Calibri" w:hAnsi="Times New Roman CYR" w:cs="Times New Roman CYR"/>
          <w:bCs/>
          <w:iCs/>
          <w:sz w:val="28"/>
          <w:szCs w:val="28"/>
        </w:rPr>
        <w:t>ом</w:t>
      </w:r>
      <w:r w:rsidRPr="00167A23">
        <w:rPr>
          <w:rFonts w:ascii="Times New Roman CYR" w:eastAsia="Calibri" w:hAnsi="Times New Roman CYR" w:cs="Times New Roman CYR"/>
          <w:bCs/>
          <w:iCs/>
          <w:sz w:val="28"/>
          <w:szCs w:val="28"/>
        </w:rPr>
        <w:t xml:space="preserve"> </w:t>
      </w:r>
      <w:r w:rsidR="00045EB3">
        <w:rPr>
          <w:rFonts w:ascii="Times New Roman CYR" w:eastAsia="Calibri" w:hAnsi="Times New Roman CYR" w:cs="Times New Roman CYR"/>
          <w:bCs/>
          <w:iCs/>
          <w:sz w:val="28"/>
          <w:szCs w:val="28"/>
        </w:rPr>
        <w:t xml:space="preserve">Тульской </w:t>
      </w:r>
      <w:r w:rsidRPr="00167A23">
        <w:rPr>
          <w:rFonts w:ascii="Times New Roman CYR" w:eastAsia="Calibri" w:hAnsi="Times New Roman CYR" w:cs="Times New Roman CYR"/>
          <w:bCs/>
          <w:iCs/>
          <w:sz w:val="28"/>
          <w:szCs w:val="28"/>
        </w:rPr>
        <w:t>области по туризму (69,8%); министерств</w:t>
      </w:r>
      <w:r w:rsidR="000C51E9">
        <w:rPr>
          <w:rFonts w:ascii="Times New Roman CYR" w:eastAsia="Calibri" w:hAnsi="Times New Roman CYR" w:cs="Times New Roman CYR"/>
          <w:bCs/>
          <w:iCs/>
          <w:sz w:val="28"/>
          <w:szCs w:val="28"/>
        </w:rPr>
        <w:t>ом</w:t>
      </w:r>
      <w:r w:rsidRPr="00167A23">
        <w:rPr>
          <w:rFonts w:ascii="Times New Roman CYR" w:eastAsia="Calibri" w:hAnsi="Times New Roman CYR" w:cs="Times New Roman CYR"/>
          <w:bCs/>
          <w:iCs/>
          <w:sz w:val="28"/>
          <w:szCs w:val="28"/>
        </w:rPr>
        <w:t xml:space="preserve"> спорта </w:t>
      </w:r>
      <w:r w:rsidR="000C51E9">
        <w:rPr>
          <w:rFonts w:ascii="Times New Roman CYR" w:eastAsia="Calibri" w:hAnsi="Times New Roman CYR" w:cs="Times New Roman CYR"/>
          <w:bCs/>
          <w:iCs/>
          <w:sz w:val="28"/>
          <w:szCs w:val="28"/>
        </w:rPr>
        <w:t xml:space="preserve">Тульской </w:t>
      </w:r>
      <w:r w:rsidRPr="00167A23">
        <w:rPr>
          <w:rFonts w:ascii="Times New Roman CYR" w:eastAsia="Calibri" w:hAnsi="Times New Roman CYR" w:cs="Times New Roman CYR"/>
          <w:bCs/>
          <w:iCs/>
          <w:sz w:val="28"/>
          <w:szCs w:val="28"/>
        </w:rPr>
        <w:t>области (82,3%); министерств</w:t>
      </w:r>
      <w:r w:rsidR="000C51E9">
        <w:rPr>
          <w:rFonts w:ascii="Times New Roman CYR" w:eastAsia="Calibri" w:hAnsi="Times New Roman CYR" w:cs="Times New Roman CYR"/>
          <w:bCs/>
          <w:iCs/>
          <w:sz w:val="28"/>
          <w:szCs w:val="28"/>
        </w:rPr>
        <w:t>ом</w:t>
      </w:r>
      <w:r w:rsidRPr="00167A23">
        <w:rPr>
          <w:rFonts w:ascii="Times New Roman CYR" w:eastAsia="Calibri" w:hAnsi="Times New Roman CYR" w:cs="Times New Roman CYR"/>
          <w:bCs/>
          <w:iCs/>
          <w:sz w:val="28"/>
          <w:szCs w:val="28"/>
        </w:rPr>
        <w:t xml:space="preserve"> финансов </w:t>
      </w:r>
      <w:r w:rsidR="000C51E9">
        <w:rPr>
          <w:rFonts w:ascii="Times New Roman CYR" w:eastAsia="Calibri" w:hAnsi="Times New Roman CYR" w:cs="Times New Roman CYR"/>
          <w:bCs/>
          <w:iCs/>
          <w:sz w:val="28"/>
          <w:szCs w:val="28"/>
        </w:rPr>
        <w:t xml:space="preserve">Тульской </w:t>
      </w:r>
      <w:r w:rsidRPr="00167A23">
        <w:rPr>
          <w:rFonts w:ascii="Times New Roman CYR" w:eastAsia="Calibri" w:hAnsi="Times New Roman CYR" w:cs="Times New Roman CYR"/>
          <w:bCs/>
          <w:iCs/>
          <w:sz w:val="28"/>
          <w:szCs w:val="28"/>
        </w:rPr>
        <w:t>области (83,5%); министерств</w:t>
      </w:r>
      <w:r w:rsidR="000C51E9">
        <w:rPr>
          <w:rFonts w:ascii="Times New Roman CYR" w:eastAsia="Calibri" w:hAnsi="Times New Roman CYR" w:cs="Times New Roman CYR"/>
          <w:bCs/>
          <w:iCs/>
          <w:sz w:val="28"/>
          <w:szCs w:val="28"/>
        </w:rPr>
        <w:t>ом</w:t>
      </w:r>
      <w:r w:rsidRPr="00167A23">
        <w:rPr>
          <w:rFonts w:ascii="Times New Roman CYR" w:eastAsia="Calibri" w:hAnsi="Times New Roman CYR" w:cs="Times New Roman CYR"/>
          <w:bCs/>
          <w:iCs/>
          <w:sz w:val="28"/>
          <w:szCs w:val="28"/>
        </w:rPr>
        <w:t xml:space="preserve"> строительства </w:t>
      </w:r>
      <w:r w:rsidR="000C51E9" w:rsidRPr="000C51E9">
        <w:rPr>
          <w:rFonts w:ascii="Times New Roman" w:eastAsia="Calibri" w:hAnsi="Times New Roman" w:cs="Times New Roman"/>
          <w:bCs/>
          <w:iCs/>
          <w:sz w:val="28"/>
          <w:szCs w:val="28"/>
        </w:rPr>
        <w:t xml:space="preserve">Тульской </w:t>
      </w:r>
      <w:r w:rsidRPr="000C51E9">
        <w:rPr>
          <w:rFonts w:ascii="Times New Roman" w:eastAsia="Calibri" w:hAnsi="Times New Roman" w:cs="Times New Roman"/>
          <w:bCs/>
          <w:iCs/>
          <w:sz w:val="28"/>
          <w:szCs w:val="28"/>
        </w:rPr>
        <w:t xml:space="preserve">области (84,3%); </w:t>
      </w:r>
      <w:r w:rsidR="000C51E9" w:rsidRPr="000C51E9">
        <w:rPr>
          <w:rFonts w:ascii="Times New Roman" w:eastAsia="Calibri" w:hAnsi="Times New Roman" w:cs="Times New Roman"/>
          <w:sz w:val="28"/>
          <w:szCs w:val="28"/>
        </w:rPr>
        <w:t>министерством по информатизации, связи и вопросам открытого управления Тульской области</w:t>
      </w:r>
      <w:r w:rsidR="000C51E9" w:rsidRPr="000C51E9">
        <w:rPr>
          <w:rFonts w:ascii="Times New Roman" w:eastAsia="Calibri" w:hAnsi="Times New Roman" w:cs="Times New Roman"/>
          <w:bCs/>
          <w:iCs/>
          <w:sz w:val="28"/>
          <w:szCs w:val="28"/>
        </w:rPr>
        <w:t xml:space="preserve"> </w:t>
      </w:r>
      <w:r w:rsidRPr="000C51E9">
        <w:rPr>
          <w:rFonts w:ascii="Times New Roman" w:eastAsia="Calibri" w:hAnsi="Times New Roman" w:cs="Times New Roman"/>
          <w:bCs/>
          <w:iCs/>
          <w:sz w:val="28"/>
          <w:szCs w:val="28"/>
        </w:rPr>
        <w:t xml:space="preserve">(88,7%); министерству </w:t>
      </w:r>
      <w:r w:rsidR="000C51E9" w:rsidRPr="000C51E9">
        <w:rPr>
          <w:rFonts w:ascii="Times New Roman" w:eastAsia="Calibri" w:hAnsi="Times New Roman" w:cs="Times New Roman"/>
          <w:sz w:val="28"/>
          <w:szCs w:val="28"/>
        </w:rPr>
        <w:t>природных ресурсов и экологии Тульской области</w:t>
      </w:r>
      <w:r w:rsidRPr="000C51E9">
        <w:rPr>
          <w:rFonts w:ascii="Times New Roman" w:eastAsia="Calibri" w:hAnsi="Times New Roman" w:cs="Times New Roman"/>
          <w:bCs/>
          <w:iCs/>
          <w:sz w:val="28"/>
          <w:szCs w:val="28"/>
        </w:rPr>
        <w:t xml:space="preserve"> (89,9%).</w:t>
      </w:r>
    </w:p>
    <w:p w:rsidR="00167A23" w:rsidRDefault="0073653B" w:rsidP="000C51E9">
      <w:pPr>
        <w:tabs>
          <w:tab w:val="left" w:pos="1134"/>
        </w:tabs>
        <w:spacing w:before="120" w:after="0" w:line="240" w:lineRule="auto"/>
        <w:ind w:firstLine="709"/>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5</w:t>
      </w:r>
      <w:r w:rsidR="00167A23" w:rsidRPr="00167A23">
        <w:rPr>
          <w:rFonts w:ascii="Times New Roman CYR" w:eastAsia="Calibri" w:hAnsi="Times New Roman CYR" w:cs="Times New Roman CYR"/>
          <w:bCs/>
          <w:iCs/>
          <w:sz w:val="28"/>
          <w:szCs w:val="28"/>
        </w:rPr>
        <w:t xml:space="preserve">. На финансирование 38 региональных проектов в рамках 12-ти национальных проектов в 2020 году направлено 12 664 667,9 тыс. рублей (92,3% от показателей сводной бюджетной росписи), что составляет 13,2% общего объема расходов бюджета области. Высокий уровень использования бюджетных ассигнований, предусмотренных сводной бюджетной росписью, отмечается по региональным проектам, входящим в состав семи национальных проектов из двенадцати </w:t>
      </w:r>
      <w:r w:rsidR="000C51E9">
        <w:rPr>
          <w:rFonts w:ascii="Times New Roman CYR" w:eastAsia="Calibri" w:hAnsi="Times New Roman CYR" w:cs="Times New Roman CYR"/>
          <w:bCs/>
          <w:iCs/>
          <w:sz w:val="28"/>
          <w:szCs w:val="28"/>
        </w:rPr>
        <w:t>,</w:t>
      </w:r>
      <w:r w:rsidR="00167A23" w:rsidRPr="00167A23">
        <w:rPr>
          <w:rFonts w:ascii="Times New Roman CYR" w:eastAsia="Calibri" w:hAnsi="Times New Roman CYR" w:cs="Times New Roman CYR"/>
          <w:bCs/>
          <w:iCs/>
          <w:sz w:val="28"/>
          <w:szCs w:val="28"/>
        </w:rPr>
        <w:t>в том числе полностью бюджетные ассигнования использованы в рамках шести национальных проектов: «Культура», «Цифровая экономика Российской Федерации», «Малое и среднее предпринимательство и поддержка индивидуальной предпринимательской инициативы», «Безопасные и качественные автомобильные дороги», «Наука», «Международная кооперация и экспорт».</w:t>
      </w:r>
    </w:p>
    <w:p w:rsidR="00167A23" w:rsidRPr="00167A23" w:rsidRDefault="0073653B" w:rsidP="000C51E9">
      <w:pPr>
        <w:suppressAutoHyphens/>
        <w:spacing w:before="120" w:after="0" w:line="240" w:lineRule="auto"/>
        <w:ind w:firstLine="709"/>
        <w:jc w:val="both"/>
        <w:rPr>
          <w:rFonts w:ascii="Times New Roman" w:hAnsi="Times New Roman" w:cs="Times New Roman"/>
          <w:spacing w:val="-4"/>
          <w:sz w:val="28"/>
          <w:szCs w:val="28"/>
        </w:rPr>
      </w:pPr>
      <w:r>
        <w:rPr>
          <w:rFonts w:ascii="Times New Roman" w:eastAsia="Calibri" w:hAnsi="Times New Roman" w:cs="Times New Roman"/>
          <w:bCs/>
          <w:iCs/>
          <w:sz w:val="28"/>
          <w:szCs w:val="28"/>
        </w:rPr>
        <w:t>6</w:t>
      </w:r>
      <w:r w:rsidR="00167A23" w:rsidRPr="00167A23">
        <w:rPr>
          <w:rFonts w:ascii="Times New Roman" w:eastAsia="Calibri" w:hAnsi="Times New Roman" w:cs="Times New Roman"/>
          <w:bCs/>
          <w:iCs/>
          <w:sz w:val="28"/>
          <w:szCs w:val="28"/>
        </w:rPr>
        <w:t xml:space="preserve">. </w:t>
      </w:r>
      <w:r w:rsidR="00167A23" w:rsidRPr="00167A23">
        <w:rPr>
          <w:rFonts w:ascii="Times New Roman" w:hAnsi="Times New Roman" w:cs="Times New Roman"/>
          <w:spacing w:val="-4"/>
          <w:sz w:val="28"/>
          <w:szCs w:val="28"/>
        </w:rPr>
        <w:t>В 2020 году бюджетные ассигнования бюджета области не использованы в объеме 4 394 122,6 тыс. рублей, что составляет 4,4% от показателя, утвержденного сводной бюджетной росписью.</w:t>
      </w:r>
    </w:p>
    <w:p w:rsidR="00167A23" w:rsidRDefault="00167A23" w:rsidP="000C51E9">
      <w:pPr>
        <w:suppressAutoHyphens/>
        <w:spacing w:after="0" w:line="240" w:lineRule="auto"/>
        <w:ind w:firstLine="709"/>
        <w:jc w:val="both"/>
        <w:rPr>
          <w:rFonts w:ascii="Times New Roman" w:hAnsi="Times New Roman" w:cs="Times New Roman"/>
          <w:sz w:val="28"/>
          <w:szCs w:val="28"/>
        </w:rPr>
      </w:pPr>
      <w:r w:rsidRPr="00167A23">
        <w:rPr>
          <w:rFonts w:ascii="Times New Roman" w:eastAsia="Calibri" w:hAnsi="Times New Roman" w:cs="Times New Roman"/>
          <w:spacing w:val="-4"/>
          <w:sz w:val="28"/>
          <w:szCs w:val="28"/>
          <w:lang w:eastAsia="ar-SA"/>
        </w:rPr>
        <w:t xml:space="preserve">В ходе внешних проверок годовой бюджетной отчетности </w:t>
      </w:r>
      <w:r w:rsidR="000C51E9">
        <w:rPr>
          <w:rFonts w:ascii="Times New Roman" w:eastAsia="Calibri" w:hAnsi="Times New Roman" w:cs="Times New Roman"/>
          <w:spacing w:val="-4"/>
          <w:sz w:val="28"/>
          <w:szCs w:val="28"/>
          <w:lang w:eastAsia="ar-SA"/>
        </w:rPr>
        <w:t xml:space="preserve">ГРБС </w:t>
      </w:r>
      <w:r w:rsidRPr="00167A23">
        <w:rPr>
          <w:rFonts w:ascii="Times New Roman" w:eastAsia="Calibri" w:hAnsi="Times New Roman" w:cs="Times New Roman"/>
          <w:spacing w:val="-4"/>
          <w:sz w:val="28"/>
          <w:szCs w:val="28"/>
          <w:lang w:eastAsia="ar-SA"/>
        </w:rPr>
        <w:t xml:space="preserve">за 2020 год отмечены следующие основные причины неполного использования бюджетных ассигнований: </w:t>
      </w:r>
      <w:r w:rsidRPr="00167A23">
        <w:rPr>
          <w:rFonts w:ascii="Times New Roman" w:hAnsi="Times New Roman" w:cs="Times New Roman"/>
          <w:sz w:val="28"/>
          <w:szCs w:val="28"/>
        </w:rPr>
        <w:t xml:space="preserve">оплата расходов по контрактам по их фактическому исполнению, а также экономия, сложившаяся при проведении конкурентных процедур;  увеличение бюджетных ассигнований в конце финансового года и </w:t>
      </w:r>
      <w:r w:rsidRPr="00167A23">
        <w:rPr>
          <w:rFonts w:ascii="Times New Roman" w:hAnsi="Times New Roman" w:cs="Times New Roman"/>
          <w:sz w:val="28"/>
          <w:szCs w:val="28"/>
        </w:rPr>
        <w:lastRenderedPageBreak/>
        <w:t>позднее объявление конкурентных процедур;  финансирование расходов по фактической потребности, в том числе: в части предоставления межбюджетных трансфертов муниципальным образованиям области; в части осуществления социальных выплат гражданам, имеющим заявительный характер; неиспользование в полном объеме зарезервированных средств; экономия по оплате труда при наличии вакансий в государственных органах и их подведомственных учреждениях.</w:t>
      </w:r>
    </w:p>
    <w:p w:rsidR="00AD472F" w:rsidRPr="00AD472F" w:rsidRDefault="0073653B" w:rsidP="00AD472F">
      <w:pPr>
        <w:tabs>
          <w:tab w:val="left" w:pos="1276"/>
        </w:tabs>
        <w:suppressAutoHyphens/>
        <w:spacing w:before="12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AD472F">
        <w:rPr>
          <w:rFonts w:ascii="Times New Roman" w:hAnsi="Times New Roman" w:cs="Times New Roman"/>
          <w:sz w:val="28"/>
          <w:szCs w:val="28"/>
        </w:rPr>
        <w:t>.</w:t>
      </w:r>
      <w:r w:rsidR="00AD472F" w:rsidRPr="00AD472F">
        <w:rPr>
          <w:rFonts w:ascii="Times New Roman" w:hAnsi="Times New Roman" w:cs="Times New Roman"/>
          <w:sz w:val="28"/>
          <w:szCs w:val="28"/>
        </w:rPr>
        <w:t xml:space="preserve"> Исполнение бюджетных ассигнований </w:t>
      </w:r>
      <w:r w:rsidR="000C51E9">
        <w:rPr>
          <w:rFonts w:ascii="Times New Roman" w:hAnsi="Times New Roman" w:cs="Times New Roman"/>
          <w:sz w:val="28"/>
          <w:szCs w:val="28"/>
        </w:rPr>
        <w:t>д</w:t>
      </w:r>
      <w:r w:rsidR="00AD472F" w:rsidRPr="00AD472F">
        <w:rPr>
          <w:rFonts w:ascii="Times New Roman" w:hAnsi="Times New Roman" w:cs="Times New Roman"/>
          <w:sz w:val="28"/>
          <w:szCs w:val="28"/>
        </w:rPr>
        <w:t xml:space="preserve">орожного фонда </w:t>
      </w:r>
      <w:r w:rsidR="000C51E9">
        <w:rPr>
          <w:rFonts w:ascii="Times New Roman" w:hAnsi="Times New Roman" w:cs="Times New Roman"/>
          <w:sz w:val="28"/>
          <w:szCs w:val="28"/>
        </w:rPr>
        <w:t xml:space="preserve">Тульской области </w:t>
      </w:r>
      <w:r w:rsidR="00AD472F" w:rsidRPr="00AD472F">
        <w:rPr>
          <w:rFonts w:ascii="Times New Roman" w:hAnsi="Times New Roman" w:cs="Times New Roman"/>
          <w:sz w:val="28"/>
          <w:szCs w:val="28"/>
        </w:rPr>
        <w:t>в 2020 году составило 94,7% от показателей сводной бюджетной росписи, или 7 071 477,1 тыс. рублей, в том числе за счет средств из федерального бюджета – 1 532 988,6 тыс. рублей.</w:t>
      </w:r>
    </w:p>
    <w:p w:rsidR="00AD472F" w:rsidRPr="00AD472F" w:rsidRDefault="0073653B" w:rsidP="00D27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D472F" w:rsidRPr="00AD472F">
        <w:rPr>
          <w:rFonts w:ascii="Times New Roman" w:hAnsi="Times New Roman" w:cs="Times New Roman"/>
          <w:sz w:val="28"/>
          <w:szCs w:val="28"/>
        </w:rPr>
        <w:t xml:space="preserve">. В 2020 году из </w:t>
      </w:r>
      <w:r w:rsidR="000C51E9">
        <w:rPr>
          <w:rFonts w:ascii="Times New Roman" w:hAnsi="Times New Roman" w:cs="Times New Roman"/>
          <w:sz w:val="28"/>
          <w:szCs w:val="28"/>
        </w:rPr>
        <w:t>р</w:t>
      </w:r>
      <w:r w:rsidR="00AD472F" w:rsidRPr="00AD472F">
        <w:rPr>
          <w:rFonts w:ascii="Times New Roman" w:hAnsi="Times New Roman" w:cs="Times New Roman"/>
          <w:sz w:val="28"/>
          <w:szCs w:val="28"/>
        </w:rPr>
        <w:t>езервного фонда</w:t>
      </w:r>
      <w:r w:rsidR="000C51E9">
        <w:rPr>
          <w:rFonts w:ascii="Times New Roman" w:hAnsi="Times New Roman" w:cs="Times New Roman"/>
          <w:sz w:val="28"/>
          <w:szCs w:val="28"/>
        </w:rPr>
        <w:t xml:space="preserve"> правительства Тульской области (далее – Резервный фонд)</w:t>
      </w:r>
      <w:r w:rsidR="00AD472F" w:rsidRPr="00AD472F">
        <w:rPr>
          <w:rFonts w:ascii="Times New Roman" w:hAnsi="Times New Roman" w:cs="Times New Roman"/>
          <w:sz w:val="28"/>
          <w:szCs w:val="28"/>
        </w:rPr>
        <w:t xml:space="preserve"> распределено 117 643,2 тыс. рублей на основании 25 распоряжений правительства </w:t>
      </w:r>
      <w:r w:rsidR="000C51E9">
        <w:rPr>
          <w:rFonts w:ascii="Times New Roman" w:hAnsi="Times New Roman" w:cs="Times New Roman"/>
          <w:sz w:val="28"/>
          <w:szCs w:val="28"/>
        </w:rPr>
        <w:t xml:space="preserve">Тульской </w:t>
      </w:r>
      <w:r w:rsidR="00AD472F" w:rsidRPr="00AD472F">
        <w:rPr>
          <w:rFonts w:ascii="Times New Roman" w:hAnsi="Times New Roman" w:cs="Times New Roman"/>
          <w:sz w:val="28"/>
          <w:szCs w:val="28"/>
        </w:rPr>
        <w:t xml:space="preserve">области шести ГРБС (министерство здравоохранения </w:t>
      </w:r>
      <w:r w:rsidR="00D27AB9">
        <w:rPr>
          <w:rFonts w:ascii="Times New Roman" w:hAnsi="Times New Roman" w:cs="Times New Roman"/>
          <w:sz w:val="28"/>
          <w:szCs w:val="28"/>
        </w:rPr>
        <w:t xml:space="preserve">Тульской </w:t>
      </w:r>
      <w:r w:rsidR="00AD472F" w:rsidRPr="00AD472F">
        <w:rPr>
          <w:rFonts w:ascii="Times New Roman" w:hAnsi="Times New Roman" w:cs="Times New Roman"/>
          <w:sz w:val="28"/>
          <w:szCs w:val="28"/>
        </w:rPr>
        <w:t>области, комитет</w:t>
      </w:r>
      <w:r w:rsidR="00D27AB9">
        <w:rPr>
          <w:rFonts w:ascii="Times New Roman" w:hAnsi="Times New Roman" w:cs="Times New Roman"/>
          <w:sz w:val="28"/>
          <w:szCs w:val="28"/>
        </w:rPr>
        <w:t xml:space="preserve"> </w:t>
      </w:r>
      <w:r w:rsidR="00AD472F" w:rsidRPr="00AD472F">
        <w:rPr>
          <w:rFonts w:ascii="Times New Roman" w:hAnsi="Times New Roman" w:cs="Times New Roman"/>
          <w:sz w:val="28"/>
          <w:szCs w:val="28"/>
        </w:rPr>
        <w:t xml:space="preserve"> </w:t>
      </w:r>
      <w:r w:rsidR="00D27AB9">
        <w:rPr>
          <w:rFonts w:ascii="Times New Roman" w:hAnsi="Times New Roman" w:cs="Times New Roman"/>
          <w:sz w:val="28"/>
          <w:szCs w:val="28"/>
        </w:rPr>
        <w:t xml:space="preserve">Тульской области </w:t>
      </w:r>
      <w:r w:rsidR="00AD472F" w:rsidRPr="00AD472F">
        <w:rPr>
          <w:rFonts w:ascii="Times New Roman" w:hAnsi="Times New Roman" w:cs="Times New Roman"/>
          <w:sz w:val="28"/>
          <w:szCs w:val="28"/>
        </w:rPr>
        <w:t xml:space="preserve">по региональной безопасности области, министерство труда и социальной защиты </w:t>
      </w:r>
      <w:r w:rsidR="00D27AB9">
        <w:rPr>
          <w:rFonts w:ascii="Times New Roman" w:hAnsi="Times New Roman" w:cs="Times New Roman"/>
          <w:sz w:val="28"/>
          <w:szCs w:val="28"/>
        </w:rPr>
        <w:t xml:space="preserve">Тульской </w:t>
      </w:r>
      <w:r w:rsidR="00AD472F" w:rsidRPr="00AD472F">
        <w:rPr>
          <w:rFonts w:ascii="Times New Roman" w:hAnsi="Times New Roman" w:cs="Times New Roman"/>
          <w:sz w:val="28"/>
          <w:szCs w:val="28"/>
        </w:rPr>
        <w:t xml:space="preserve">области, министерство строительства </w:t>
      </w:r>
      <w:r w:rsidR="00D27AB9">
        <w:rPr>
          <w:rFonts w:ascii="Times New Roman" w:hAnsi="Times New Roman" w:cs="Times New Roman"/>
          <w:sz w:val="28"/>
          <w:szCs w:val="28"/>
        </w:rPr>
        <w:t xml:space="preserve">Тульской </w:t>
      </w:r>
      <w:r w:rsidR="00AD472F" w:rsidRPr="00AD472F">
        <w:rPr>
          <w:rFonts w:ascii="Times New Roman" w:hAnsi="Times New Roman" w:cs="Times New Roman"/>
          <w:sz w:val="28"/>
          <w:szCs w:val="28"/>
        </w:rPr>
        <w:t>области, министерство</w:t>
      </w:r>
      <w:r w:rsidR="00D27AB9" w:rsidRPr="00D27AB9">
        <w:rPr>
          <w:rFonts w:ascii="Times New Roman" w:hAnsi="Times New Roman" w:cs="Times New Roman"/>
          <w:sz w:val="28"/>
          <w:szCs w:val="28"/>
        </w:rPr>
        <w:t xml:space="preserve"> жилищно-коммунального хозяйства</w:t>
      </w:r>
      <w:r w:rsidR="00AD472F" w:rsidRPr="00AD472F">
        <w:rPr>
          <w:rFonts w:ascii="Times New Roman" w:hAnsi="Times New Roman" w:cs="Times New Roman"/>
          <w:sz w:val="28"/>
          <w:szCs w:val="28"/>
        </w:rPr>
        <w:t xml:space="preserve"> </w:t>
      </w:r>
      <w:r w:rsidR="00D27AB9">
        <w:rPr>
          <w:rFonts w:ascii="Times New Roman" w:hAnsi="Times New Roman" w:cs="Times New Roman"/>
          <w:sz w:val="28"/>
          <w:szCs w:val="28"/>
        </w:rPr>
        <w:t xml:space="preserve">Тульской </w:t>
      </w:r>
      <w:r w:rsidR="00AD472F" w:rsidRPr="00AD472F">
        <w:rPr>
          <w:rFonts w:ascii="Times New Roman" w:hAnsi="Times New Roman" w:cs="Times New Roman"/>
          <w:sz w:val="28"/>
          <w:szCs w:val="28"/>
        </w:rPr>
        <w:t xml:space="preserve">области, министерство по </w:t>
      </w:r>
      <w:r w:rsidR="00D27AB9" w:rsidRPr="00D27AB9">
        <w:rPr>
          <w:rFonts w:ascii="Times New Roman" w:hAnsi="Times New Roman" w:cs="Times New Roman"/>
          <w:sz w:val="28"/>
          <w:szCs w:val="28"/>
        </w:rPr>
        <w:t>информатизации, связи и вопросам открытого управления Тульской области</w:t>
      </w:r>
      <w:r w:rsidR="00AD472F" w:rsidRPr="00AD472F">
        <w:rPr>
          <w:rFonts w:ascii="Times New Roman" w:hAnsi="Times New Roman" w:cs="Times New Roman"/>
          <w:sz w:val="28"/>
          <w:szCs w:val="28"/>
        </w:rPr>
        <w:t xml:space="preserve">). Значительная часть средств Резервного фонда – 82 356,8 тыс. рублей (41,2% предусмотренного объема Резервного фонда) не распределена. </w:t>
      </w:r>
    </w:p>
    <w:p w:rsidR="00AD472F" w:rsidRPr="00167A23" w:rsidRDefault="00AD472F" w:rsidP="00D27AB9">
      <w:pPr>
        <w:suppressAutoHyphens/>
        <w:spacing w:after="0" w:line="240" w:lineRule="auto"/>
        <w:ind w:firstLine="709"/>
        <w:jc w:val="both"/>
        <w:rPr>
          <w:rFonts w:ascii="Times New Roman" w:hAnsi="Times New Roman" w:cs="Times New Roman"/>
          <w:sz w:val="28"/>
          <w:szCs w:val="28"/>
        </w:rPr>
      </w:pPr>
      <w:r w:rsidRPr="00AD472F">
        <w:rPr>
          <w:rFonts w:ascii="Times New Roman" w:hAnsi="Times New Roman" w:cs="Times New Roman"/>
          <w:sz w:val="28"/>
          <w:szCs w:val="28"/>
        </w:rPr>
        <w:t>Кассовые расходы бюджета области за счет средств Резервного фонда составили 92 466,5 тыс. рублей, или 78,6% от объема распределенных средств согласно распоряжениям правительства области</w:t>
      </w:r>
      <w:r>
        <w:rPr>
          <w:rFonts w:ascii="Times New Roman" w:hAnsi="Times New Roman" w:cs="Times New Roman"/>
          <w:sz w:val="28"/>
          <w:szCs w:val="28"/>
        </w:rPr>
        <w:t>.</w:t>
      </w:r>
    </w:p>
    <w:p w:rsidR="00AD472F" w:rsidRPr="00AD472F" w:rsidRDefault="0073653B" w:rsidP="00915636">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eastAsia="Calibri" w:hAnsi="Times New Roman" w:cs="Times New Roman"/>
          <w:spacing w:val="-4"/>
          <w:sz w:val="28"/>
        </w:rPr>
        <w:t>9</w:t>
      </w:r>
      <w:r w:rsidR="00D82E7B" w:rsidRPr="00D82E7B">
        <w:rPr>
          <w:rFonts w:ascii="Times New Roman" w:eastAsia="Calibri" w:hAnsi="Times New Roman" w:cs="Times New Roman"/>
          <w:spacing w:val="-4"/>
          <w:sz w:val="28"/>
        </w:rPr>
        <w:t>.</w:t>
      </w:r>
      <w:r w:rsidR="00AD472F" w:rsidRPr="00AD472F">
        <w:rPr>
          <w:rFonts w:ascii="Times New Roman" w:eastAsia="Calibri" w:hAnsi="Times New Roman" w:cs="Times New Roman"/>
          <w:spacing w:val="-4"/>
          <w:sz w:val="28"/>
        </w:rPr>
        <w:t> Бюджет области в 2020 году исполнен с дефицитом в сумме 1 828 983,5 тыс. рублей, что составляет 2,8% общего годового объема доходов бюджета области без учета утвержденного объема безвозмездных поступлений</w:t>
      </w:r>
      <w:r w:rsidR="00AD472F" w:rsidRPr="00AD472F">
        <w:rPr>
          <w:rFonts w:ascii="Times New Roman" w:hAnsi="Times New Roman" w:cs="Times New Roman"/>
          <w:sz w:val="28"/>
          <w:szCs w:val="28"/>
        </w:rPr>
        <w:t>.</w:t>
      </w:r>
    </w:p>
    <w:p w:rsidR="00AD472F" w:rsidRPr="00AD472F" w:rsidRDefault="00AD472F" w:rsidP="00915636">
      <w:pPr>
        <w:pStyle w:val="ae"/>
        <w:tabs>
          <w:tab w:val="left" w:pos="993"/>
        </w:tabs>
        <w:rPr>
          <w:spacing w:val="-4"/>
        </w:rPr>
      </w:pPr>
      <w:r w:rsidRPr="00AD472F">
        <w:rPr>
          <w:spacing w:val="-4"/>
          <w:szCs w:val="28"/>
        </w:rPr>
        <w:t>В отчете об исполнении бюджета области по форме 0503117</w:t>
      </w:r>
      <w:r w:rsidRPr="00AD472F">
        <w:rPr>
          <w:spacing w:val="-4"/>
        </w:rPr>
        <w:t xml:space="preserve"> отдельные плановые показатели поступлений источников финансирования дефицита бюджета отражены с нарушением требований пункта 134 Инструкции</w:t>
      </w:r>
      <w:r w:rsidR="00EB61E2" w:rsidRPr="00EB61E2">
        <w:rPr>
          <w:spacing w:val="-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w:t>
      </w:r>
      <w:r w:rsidRPr="00AD472F">
        <w:rPr>
          <w:spacing w:val="-4"/>
        </w:rPr>
        <w:t>.</w:t>
      </w:r>
    </w:p>
    <w:p w:rsidR="00AD472F" w:rsidRPr="00AD472F" w:rsidRDefault="0073653B" w:rsidP="00915636">
      <w:pPr>
        <w:spacing w:before="120"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10. </w:t>
      </w:r>
      <w:r w:rsidR="00AD472F" w:rsidRPr="00AD472F">
        <w:rPr>
          <w:rFonts w:ascii="Times New Roman" w:hAnsi="Times New Roman" w:cs="Times New Roman"/>
          <w:iCs/>
          <w:sz w:val="28"/>
          <w:szCs w:val="28"/>
        </w:rPr>
        <w:t>Остатки средств на едином счете бюджета области</w:t>
      </w:r>
      <w:r w:rsidR="00AD472F" w:rsidRPr="00AD472F">
        <w:rPr>
          <w:rFonts w:ascii="Times New Roman" w:hAnsi="Times New Roman" w:cs="Times New Roman"/>
          <w:sz w:val="28"/>
          <w:szCs w:val="28"/>
        </w:rPr>
        <w:t xml:space="preserve"> за 2020 год уменьшились на 38,1% (на 1 284 560,9 тыс. рублей) и по состоянию на 1 января 2021 года составили 2 091 266,2 тыс. рублей, в том числе: собственные средства – 1 873 936,9 тыс. рублей; средства федерального бюджета – 773,7 тыс. рублей; межбюджетные трансферты (г. Москва) – 113 003,4 тыс. рублей; средства государственной корпорации – Фонда содействия реформированию ЖКХ – 103 552,2 тыс. рублей. </w:t>
      </w:r>
    </w:p>
    <w:p w:rsidR="00AD472F" w:rsidRPr="00AD472F" w:rsidRDefault="0073653B" w:rsidP="00915636">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lastRenderedPageBreak/>
        <w:t>11</w:t>
      </w:r>
      <w:r w:rsidR="00AD472F" w:rsidRPr="00D82E7B">
        <w:rPr>
          <w:rFonts w:ascii="Times New Roman" w:hAnsi="Times New Roman" w:cs="Times New Roman"/>
          <w:spacing w:val="-4"/>
          <w:sz w:val="28"/>
          <w:szCs w:val="28"/>
        </w:rPr>
        <w:t>.</w:t>
      </w:r>
      <w:r w:rsidR="00AD472F" w:rsidRPr="00AD472F">
        <w:rPr>
          <w:rFonts w:ascii="Times New Roman" w:hAnsi="Times New Roman" w:cs="Times New Roman"/>
          <w:spacing w:val="-4"/>
          <w:sz w:val="28"/>
          <w:szCs w:val="28"/>
        </w:rPr>
        <w:t> </w:t>
      </w:r>
      <w:r w:rsidR="00AD472F" w:rsidRPr="00AD472F">
        <w:rPr>
          <w:rFonts w:ascii="Times New Roman" w:hAnsi="Times New Roman" w:cs="Times New Roman"/>
          <w:sz w:val="28"/>
          <w:szCs w:val="28"/>
          <w:shd w:val="clear" w:color="auto" w:fill="FFFFFF"/>
        </w:rPr>
        <w:t>Су</w:t>
      </w:r>
      <w:r w:rsidR="00AD472F" w:rsidRPr="00AD472F">
        <w:rPr>
          <w:rFonts w:ascii="Times New Roman" w:hAnsi="Times New Roman" w:cs="Times New Roman"/>
          <w:sz w:val="28"/>
          <w:szCs w:val="28"/>
        </w:rPr>
        <w:t>мма задолженности муниципальных образований и юридических лиц перед бюджетом области по бюджетным кредитам</w:t>
      </w:r>
      <w:r w:rsidR="003956C4" w:rsidRPr="003956C4">
        <w:rPr>
          <w:rFonts w:ascii="Times New Roman" w:hAnsi="Times New Roman" w:cs="Times New Roman"/>
          <w:sz w:val="28"/>
          <w:szCs w:val="28"/>
        </w:rPr>
        <w:t xml:space="preserve"> </w:t>
      </w:r>
      <w:r w:rsidR="003956C4">
        <w:rPr>
          <w:rFonts w:ascii="Times New Roman" w:hAnsi="Times New Roman" w:cs="Times New Roman"/>
          <w:sz w:val="28"/>
          <w:szCs w:val="28"/>
        </w:rPr>
        <w:t xml:space="preserve">на </w:t>
      </w:r>
      <w:proofErr w:type="gramStart"/>
      <w:r w:rsidR="003956C4">
        <w:rPr>
          <w:rFonts w:ascii="Times New Roman" w:hAnsi="Times New Roman" w:cs="Times New Roman"/>
          <w:sz w:val="28"/>
          <w:szCs w:val="28"/>
        </w:rPr>
        <w:t xml:space="preserve">01.01.2021 </w:t>
      </w:r>
      <w:r w:rsidR="00AD472F" w:rsidRPr="00AD472F">
        <w:rPr>
          <w:rFonts w:ascii="Times New Roman" w:hAnsi="Times New Roman" w:cs="Times New Roman"/>
          <w:sz w:val="28"/>
          <w:szCs w:val="28"/>
        </w:rPr>
        <w:t xml:space="preserve"> состав</w:t>
      </w:r>
      <w:r w:rsidR="003956C4">
        <w:rPr>
          <w:rFonts w:ascii="Times New Roman" w:hAnsi="Times New Roman" w:cs="Times New Roman"/>
          <w:sz w:val="28"/>
          <w:szCs w:val="28"/>
        </w:rPr>
        <w:t>ила</w:t>
      </w:r>
      <w:proofErr w:type="gramEnd"/>
      <w:r w:rsidR="00AD472F" w:rsidRPr="00AD472F">
        <w:rPr>
          <w:rFonts w:ascii="Times New Roman" w:hAnsi="Times New Roman" w:cs="Times New Roman"/>
          <w:sz w:val="28"/>
          <w:szCs w:val="28"/>
        </w:rPr>
        <w:t xml:space="preserve"> 751 252,5 тыс. рублей, за 2020 год увеличилась на 12 517,0 тыс. рублей, или на 1,7%.</w:t>
      </w:r>
    </w:p>
    <w:p w:rsidR="00AD472F" w:rsidRPr="00AD472F" w:rsidRDefault="00AD472F" w:rsidP="00915636">
      <w:pPr>
        <w:tabs>
          <w:tab w:val="left" w:pos="851"/>
          <w:tab w:val="left" w:pos="993"/>
        </w:tabs>
        <w:spacing w:after="0" w:line="240" w:lineRule="auto"/>
        <w:ind w:firstLine="709"/>
        <w:jc w:val="both"/>
        <w:rPr>
          <w:rFonts w:ascii="Times New Roman" w:hAnsi="Times New Roman" w:cs="Times New Roman"/>
          <w:b/>
          <w:spacing w:val="-4"/>
          <w:sz w:val="28"/>
          <w:szCs w:val="28"/>
          <w:highlight w:val="yellow"/>
        </w:rPr>
      </w:pPr>
      <w:r w:rsidRPr="00AD472F">
        <w:rPr>
          <w:rFonts w:ascii="Times New Roman" w:hAnsi="Times New Roman" w:cs="Times New Roman"/>
          <w:sz w:val="28"/>
          <w:szCs w:val="28"/>
        </w:rPr>
        <w:t>Задолженность бюджетов муниципальных образований перед бюджетом области на 01.01.2021 состав</w:t>
      </w:r>
      <w:r w:rsidR="003956C4">
        <w:rPr>
          <w:rFonts w:ascii="Times New Roman" w:hAnsi="Times New Roman" w:cs="Times New Roman"/>
          <w:sz w:val="28"/>
          <w:szCs w:val="28"/>
        </w:rPr>
        <w:t>и</w:t>
      </w:r>
      <w:r w:rsidRPr="00AD472F">
        <w:rPr>
          <w:rFonts w:ascii="Times New Roman" w:hAnsi="Times New Roman" w:cs="Times New Roman"/>
          <w:sz w:val="28"/>
          <w:szCs w:val="28"/>
        </w:rPr>
        <w:t>л</w:t>
      </w:r>
      <w:r w:rsidR="003956C4">
        <w:rPr>
          <w:rFonts w:ascii="Times New Roman" w:hAnsi="Times New Roman" w:cs="Times New Roman"/>
          <w:sz w:val="28"/>
          <w:szCs w:val="28"/>
        </w:rPr>
        <w:t>а</w:t>
      </w:r>
      <w:r w:rsidRPr="00AD472F">
        <w:rPr>
          <w:rFonts w:ascii="Times New Roman" w:hAnsi="Times New Roman" w:cs="Times New Roman"/>
          <w:sz w:val="28"/>
          <w:szCs w:val="28"/>
        </w:rPr>
        <w:t xml:space="preserve"> 420 683,0 тыс. рублей, в том числе по основному долгу – 413 881,2 тыс. рублей, по начисленным процентам и пеням – 6 801,8 тыс. рублей. В целом общая сумма задолженности перед бюджетом области увеличилась по сравнению с началом года на 4,5%, или на 18 051,7 тыс. рублей. В 2020 году по распоряжениям правительства</w:t>
      </w:r>
      <w:r w:rsidR="00162FB1">
        <w:rPr>
          <w:rFonts w:ascii="Times New Roman" w:hAnsi="Times New Roman" w:cs="Times New Roman"/>
          <w:sz w:val="28"/>
          <w:szCs w:val="28"/>
        </w:rPr>
        <w:t xml:space="preserve"> Тульской </w:t>
      </w:r>
      <w:r w:rsidRPr="00AD472F">
        <w:rPr>
          <w:rFonts w:ascii="Times New Roman" w:hAnsi="Times New Roman" w:cs="Times New Roman"/>
          <w:sz w:val="28"/>
          <w:szCs w:val="28"/>
        </w:rPr>
        <w:t xml:space="preserve"> области из бюджета области бюджетам 8-ми </w:t>
      </w:r>
      <w:r w:rsidR="00162FB1">
        <w:rPr>
          <w:rFonts w:ascii="Times New Roman" w:hAnsi="Times New Roman" w:cs="Times New Roman"/>
          <w:sz w:val="28"/>
          <w:szCs w:val="28"/>
        </w:rPr>
        <w:t>муниципальных образований</w:t>
      </w:r>
      <w:r w:rsidRPr="00AD472F">
        <w:rPr>
          <w:rFonts w:ascii="Times New Roman" w:hAnsi="Times New Roman" w:cs="Times New Roman"/>
          <w:sz w:val="28"/>
          <w:szCs w:val="28"/>
        </w:rPr>
        <w:t xml:space="preserve"> предоставлено 10 бюджетных кредитов для частичного покрытия дефицитов бюджетов муниципальных образований на срок до пяти лет на общую сумму 125 500,0 тыс. рублей с процентной ставкой в размере одной второй ключевой ставки ЦБ РФ, действующей на день заключения договора о предоставлении бюджетного кредита в соответствии с положениями статьи 20 Закона о бюджете области на 2020 год.</w:t>
      </w:r>
      <w:r w:rsidRPr="00AD472F">
        <w:rPr>
          <w:rFonts w:ascii="Times New Roman" w:hAnsi="Times New Roman" w:cs="Times New Roman"/>
          <w:b/>
          <w:spacing w:val="-4"/>
          <w:sz w:val="28"/>
          <w:szCs w:val="28"/>
        </w:rPr>
        <w:t xml:space="preserve"> </w:t>
      </w:r>
    </w:p>
    <w:p w:rsidR="00AD472F" w:rsidRPr="00AD472F" w:rsidRDefault="00AD472F" w:rsidP="0073653B">
      <w:pPr>
        <w:tabs>
          <w:tab w:val="left" w:pos="851"/>
          <w:tab w:val="left" w:pos="993"/>
        </w:tabs>
        <w:spacing w:after="0" w:line="240" w:lineRule="auto"/>
        <w:ind w:firstLine="709"/>
        <w:jc w:val="both"/>
        <w:rPr>
          <w:rFonts w:ascii="Times New Roman" w:hAnsi="Times New Roman" w:cs="Times New Roman"/>
          <w:spacing w:val="-4"/>
          <w:sz w:val="28"/>
          <w:szCs w:val="28"/>
        </w:rPr>
      </w:pPr>
      <w:r w:rsidRPr="00AD472F">
        <w:rPr>
          <w:rFonts w:ascii="Times New Roman" w:hAnsi="Times New Roman" w:cs="Times New Roman"/>
          <w:spacing w:val="-4"/>
          <w:sz w:val="28"/>
          <w:szCs w:val="28"/>
        </w:rPr>
        <w:t>Предложение счетной палаты области по результатам внешней проверки годового отчета об исполнении бюджета Тульской области за 2019 год по снижению платы за пользование бюджетными кредитами, предоставляемыми из бюджета Тульской области бюджетам муниципальных образований, в 2020 году не учтено.</w:t>
      </w:r>
    </w:p>
    <w:p w:rsidR="00167A23" w:rsidRPr="00AD472F" w:rsidRDefault="00FD2396" w:rsidP="0073653B">
      <w:pPr>
        <w:tabs>
          <w:tab w:val="left" w:pos="1134"/>
        </w:tabs>
        <w:spacing w:after="0" w:line="240" w:lineRule="auto"/>
        <w:ind w:firstLine="709"/>
        <w:jc w:val="both"/>
        <w:rPr>
          <w:rFonts w:ascii="Times New Roman" w:hAnsi="Times New Roman" w:cs="Times New Roman"/>
          <w:sz w:val="28"/>
          <w:szCs w:val="28"/>
        </w:rPr>
      </w:pPr>
      <w:r w:rsidRPr="00AD472F">
        <w:rPr>
          <w:rFonts w:ascii="Times New Roman" w:hAnsi="Times New Roman" w:cs="Times New Roman"/>
          <w:spacing w:val="-4"/>
          <w:sz w:val="28"/>
          <w:szCs w:val="28"/>
        </w:rPr>
        <w:t>Общая сумма задолженности</w:t>
      </w:r>
      <w:r>
        <w:rPr>
          <w:rFonts w:ascii="Times New Roman" w:hAnsi="Times New Roman" w:cs="Times New Roman"/>
          <w:spacing w:val="-4"/>
          <w:sz w:val="28"/>
          <w:szCs w:val="28"/>
        </w:rPr>
        <w:t xml:space="preserve"> юридических лиц</w:t>
      </w:r>
      <w:r w:rsidRPr="00AD472F">
        <w:rPr>
          <w:rFonts w:ascii="Times New Roman" w:hAnsi="Times New Roman" w:cs="Times New Roman"/>
          <w:spacing w:val="-4"/>
          <w:sz w:val="28"/>
          <w:szCs w:val="28"/>
        </w:rPr>
        <w:t xml:space="preserve"> перед бюджетом области </w:t>
      </w:r>
      <w:r>
        <w:rPr>
          <w:rFonts w:ascii="Times New Roman" w:hAnsi="Times New Roman" w:cs="Times New Roman"/>
          <w:spacing w:val="-4"/>
          <w:sz w:val="28"/>
          <w:szCs w:val="28"/>
        </w:rPr>
        <w:t xml:space="preserve">в 2020 году </w:t>
      </w:r>
      <w:r w:rsidRPr="00AD472F">
        <w:rPr>
          <w:rFonts w:ascii="Times New Roman" w:hAnsi="Times New Roman" w:cs="Times New Roman"/>
          <w:sz w:val="28"/>
          <w:szCs w:val="28"/>
        </w:rPr>
        <w:t>сократилась на 5</w:t>
      </w:r>
      <w:r>
        <w:rPr>
          <w:rFonts w:ascii="Times New Roman" w:hAnsi="Times New Roman" w:cs="Times New Roman"/>
          <w:sz w:val="28"/>
          <w:szCs w:val="28"/>
        </w:rPr>
        <w:t> 534,7 тыс. рублей, или на 2,6%</w:t>
      </w:r>
      <w:r w:rsidRPr="00AD472F">
        <w:rPr>
          <w:rFonts w:ascii="Times New Roman" w:hAnsi="Times New Roman" w:cs="Times New Roman"/>
          <w:sz w:val="28"/>
          <w:szCs w:val="28"/>
        </w:rPr>
        <w:t>.</w:t>
      </w:r>
      <w:r>
        <w:rPr>
          <w:rFonts w:ascii="Times New Roman" w:hAnsi="Times New Roman" w:cs="Times New Roman"/>
          <w:sz w:val="28"/>
          <w:szCs w:val="28"/>
        </w:rPr>
        <w:t xml:space="preserve"> </w:t>
      </w:r>
      <w:r w:rsidR="00AD472F" w:rsidRPr="00AD472F">
        <w:rPr>
          <w:rFonts w:ascii="Times New Roman" w:hAnsi="Times New Roman" w:cs="Times New Roman"/>
          <w:spacing w:val="-4"/>
          <w:sz w:val="28"/>
          <w:szCs w:val="28"/>
        </w:rPr>
        <w:t xml:space="preserve">Задолженность юридических лиц перед бюджетом области на 01.01.2021 составляет 330 569,5 тыс. рублей, в том числе по основному долгу – 208 043,3 тыс. рублей, по начисленным процентам – 473,9 тыс. рублей, пеням – 122 052,3 тыс. рублей. </w:t>
      </w:r>
    </w:p>
    <w:p w:rsidR="00AD472F" w:rsidRPr="00AD472F" w:rsidRDefault="00D82E7B" w:rsidP="0028495D">
      <w:pPr>
        <w:spacing w:before="120" w:after="0" w:line="240" w:lineRule="auto"/>
        <w:ind w:firstLine="709"/>
        <w:jc w:val="both"/>
        <w:rPr>
          <w:rFonts w:ascii="Times New Roman" w:hAnsi="Times New Roman" w:cs="Times New Roman"/>
          <w:sz w:val="28"/>
          <w:szCs w:val="28"/>
        </w:rPr>
      </w:pPr>
      <w:r w:rsidRPr="00D82E7B">
        <w:rPr>
          <w:rFonts w:ascii="Times New Roman" w:hAnsi="Times New Roman" w:cs="Times New Roman"/>
          <w:iCs/>
          <w:sz w:val="28"/>
          <w:szCs w:val="28"/>
        </w:rPr>
        <w:t>1</w:t>
      </w:r>
      <w:r w:rsidR="0073653B">
        <w:rPr>
          <w:rFonts w:ascii="Times New Roman" w:hAnsi="Times New Roman" w:cs="Times New Roman"/>
          <w:iCs/>
          <w:sz w:val="28"/>
          <w:szCs w:val="28"/>
        </w:rPr>
        <w:t>2</w:t>
      </w:r>
      <w:r w:rsidRPr="00D82E7B">
        <w:rPr>
          <w:rFonts w:ascii="Times New Roman" w:hAnsi="Times New Roman" w:cs="Times New Roman"/>
          <w:iCs/>
          <w:sz w:val="28"/>
          <w:szCs w:val="28"/>
        </w:rPr>
        <w:t>.</w:t>
      </w:r>
      <w:r w:rsidR="00AD472F" w:rsidRPr="00AD472F">
        <w:rPr>
          <w:rFonts w:ascii="Times New Roman" w:hAnsi="Times New Roman" w:cs="Times New Roman"/>
          <w:iCs/>
          <w:sz w:val="28"/>
          <w:szCs w:val="28"/>
        </w:rPr>
        <w:t> </w:t>
      </w:r>
      <w:r w:rsidR="00AD472F" w:rsidRPr="00AD472F">
        <w:rPr>
          <w:rFonts w:ascii="Times New Roman" w:hAnsi="Times New Roman" w:cs="Times New Roman"/>
          <w:sz w:val="28"/>
          <w:szCs w:val="28"/>
        </w:rPr>
        <w:t xml:space="preserve">Объем государственного долга Тульской области на 01.01.2021 составил 16 513 337,4 тыс. рублей, за 2020 год увеличился на 559 581,0 тыс. рублей, или на 3,5%. </w:t>
      </w:r>
    </w:p>
    <w:p w:rsidR="00AD472F" w:rsidRPr="00AD472F" w:rsidRDefault="00AD472F" w:rsidP="0028495D">
      <w:pPr>
        <w:tabs>
          <w:tab w:val="left" w:pos="1080"/>
          <w:tab w:val="left" w:pos="1276"/>
        </w:tabs>
        <w:spacing w:after="0" w:line="240" w:lineRule="auto"/>
        <w:ind w:firstLine="709"/>
        <w:jc w:val="both"/>
        <w:rPr>
          <w:rFonts w:ascii="Times New Roman" w:eastAsia="Calibri" w:hAnsi="Times New Roman" w:cs="Times New Roman"/>
          <w:strike/>
          <w:kern w:val="28"/>
          <w:sz w:val="28"/>
          <w:szCs w:val="28"/>
        </w:rPr>
      </w:pPr>
      <w:r w:rsidRPr="00AD472F">
        <w:rPr>
          <w:rFonts w:ascii="Times New Roman" w:hAnsi="Times New Roman" w:cs="Times New Roman"/>
          <w:spacing w:val="-4"/>
          <w:sz w:val="28"/>
          <w:szCs w:val="28"/>
        </w:rPr>
        <w:t xml:space="preserve">Долговая нагрузка на бюджет области (отношение государственного долга к объему доходов без учета объема безвозмездных поступлений) в 2020 году составила 25,4%, что соответствует показателю, установленному постановлением правительства </w:t>
      </w:r>
      <w:r w:rsidR="00162FB1">
        <w:rPr>
          <w:rFonts w:ascii="Times New Roman" w:hAnsi="Times New Roman" w:cs="Times New Roman"/>
          <w:spacing w:val="-4"/>
          <w:sz w:val="28"/>
          <w:szCs w:val="28"/>
        </w:rPr>
        <w:t xml:space="preserve">Тульской </w:t>
      </w:r>
      <w:r w:rsidRPr="00AD472F">
        <w:rPr>
          <w:rFonts w:ascii="Times New Roman" w:hAnsi="Times New Roman" w:cs="Times New Roman"/>
          <w:iCs/>
          <w:spacing w:val="-4"/>
          <w:sz w:val="28"/>
          <w:szCs w:val="28"/>
        </w:rPr>
        <w:t>области</w:t>
      </w:r>
      <w:r w:rsidRPr="00AD472F">
        <w:rPr>
          <w:rFonts w:ascii="Times New Roman" w:hAnsi="Times New Roman" w:cs="Times New Roman"/>
          <w:spacing w:val="-4"/>
          <w:sz w:val="28"/>
          <w:szCs w:val="28"/>
        </w:rPr>
        <w:t xml:space="preserve">, а также установленным Минфином России условиям реструктуризации задолженности бюджета области </w:t>
      </w:r>
      <w:r w:rsidRPr="00AD472F">
        <w:rPr>
          <w:rFonts w:ascii="Times New Roman" w:eastAsia="Calibri" w:hAnsi="Times New Roman" w:cs="Times New Roman"/>
          <w:kern w:val="28"/>
          <w:sz w:val="28"/>
          <w:szCs w:val="28"/>
        </w:rPr>
        <w:t>по бюджетным кредитам, предоставленным в 2015 году (не более 36%).</w:t>
      </w:r>
      <w:r w:rsidRPr="00AD472F">
        <w:rPr>
          <w:rFonts w:ascii="Times New Roman" w:hAnsi="Times New Roman" w:cs="Times New Roman"/>
        </w:rPr>
        <w:t xml:space="preserve"> </w:t>
      </w:r>
    </w:p>
    <w:p w:rsidR="00AD472F" w:rsidRPr="00AD472F" w:rsidRDefault="00AD472F" w:rsidP="0028495D">
      <w:pPr>
        <w:tabs>
          <w:tab w:val="left" w:pos="1080"/>
          <w:tab w:val="left" w:pos="1276"/>
        </w:tabs>
        <w:spacing w:line="240" w:lineRule="auto"/>
        <w:ind w:firstLine="709"/>
        <w:jc w:val="both"/>
        <w:rPr>
          <w:rFonts w:ascii="Times New Roman" w:hAnsi="Times New Roman" w:cs="Times New Roman"/>
          <w:spacing w:val="-4"/>
          <w:sz w:val="28"/>
          <w:szCs w:val="28"/>
        </w:rPr>
      </w:pPr>
      <w:r w:rsidRPr="00AD472F">
        <w:rPr>
          <w:rFonts w:ascii="Times New Roman" w:hAnsi="Times New Roman" w:cs="Times New Roman"/>
          <w:sz w:val="28"/>
          <w:szCs w:val="28"/>
        </w:rPr>
        <w:t>В 2020 году расходы бюджета области на обслуживание государственного долга области составили 442 590,4 тыс. рублей (93,6% от законодательно утвержденных назначений и 93,6% от показателей уточненной сводной бюджетной росписи) и 0,5% от объема расходов бюджета области без учета расходов, осуществленных за счет субвенций, поступивших из федерального бюджета, что соответствует положениям статьи 111 БК РФ.</w:t>
      </w:r>
    </w:p>
    <w:p w:rsidR="00AD472F" w:rsidRPr="00AD472F" w:rsidRDefault="00D82E7B" w:rsidP="00AD472F">
      <w:pPr>
        <w:spacing w:before="120"/>
        <w:ind w:firstLine="709"/>
        <w:jc w:val="both"/>
        <w:rPr>
          <w:rFonts w:ascii="Times New Roman" w:hAnsi="Times New Roman" w:cs="Times New Roman"/>
          <w:spacing w:val="-2"/>
          <w:sz w:val="28"/>
          <w:szCs w:val="28"/>
        </w:rPr>
      </w:pPr>
      <w:r>
        <w:rPr>
          <w:rFonts w:ascii="Times New Roman" w:hAnsi="Times New Roman" w:cs="Times New Roman"/>
          <w:spacing w:val="4"/>
          <w:sz w:val="28"/>
          <w:szCs w:val="28"/>
        </w:rPr>
        <w:lastRenderedPageBreak/>
        <w:t>1</w:t>
      </w:r>
      <w:r w:rsidR="0073653B">
        <w:rPr>
          <w:rFonts w:ascii="Times New Roman" w:hAnsi="Times New Roman" w:cs="Times New Roman"/>
          <w:spacing w:val="4"/>
          <w:sz w:val="28"/>
          <w:szCs w:val="28"/>
        </w:rPr>
        <w:t>3</w:t>
      </w:r>
      <w:r>
        <w:rPr>
          <w:rFonts w:ascii="Times New Roman" w:hAnsi="Times New Roman" w:cs="Times New Roman"/>
          <w:spacing w:val="4"/>
          <w:sz w:val="28"/>
          <w:szCs w:val="28"/>
        </w:rPr>
        <w:t>.</w:t>
      </w:r>
      <w:r w:rsidR="00AD472F" w:rsidRPr="00AD472F">
        <w:rPr>
          <w:rFonts w:ascii="Times New Roman" w:hAnsi="Times New Roman" w:cs="Times New Roman"/>
          <w:spacing w:val="-2"/>
          <w:sz w:val="28"/>
          <w:szCs w:val="28"/>
        </w:rPr>
        <w:t xml:space="preserve"> Общий объем межбюджетных трансфертов, направленных из бюджета области в 2020 году в местные бюджеты, составил 25 872 992,8 тыс. рублей, или 97,2% от законодательно утвержденного объема и 94,5% от показателей сводной бюджетной росписи. Объем направленных в 2020 году из бюджета области в бюджеты </w:t>
      </w:r>
      <w:r w:rsidR="00162FB1">
        <w:rPr>
          <w:rFonts w:ascii="Times New Roman" w:hAnsi="Times New Roman" w:cs="Times New Roman"/>
          <w:spacing w:val="-2"/>
          <w:sz w:val="28"/>
          <w:szCs w:val="28"/>
        </w:rPr>
        <w:t xml:space="preserve">муниципальных образований </w:t>
      </w:r>
      <w:r w:rsidR="00AD472F" w:rsidRPr="00AD472F">
        <w:rPr>
          <w:rFonts w:ascii="Times New Roman" w:hAnsi="Times New Roman" w:cs="Times New Roman"/>
          <w:spacing w:val="-2"/>
          <w:sz w:val="28"/>
          <w:szCs w:val="28"/>
        </w:rPr>
        <w:t xml:space="preserve">межбюджетных трансфертов увеличился к уровню 2019 года на 2 217 748,1 тыс. рублей, или на 9,4%. </w:t>
      </w:r>
    </w:p>
    <w:p w:rsidR="00AD472F" w:rsidRPr="00AD472F" w:rsidRDefault="00D82E7B" w:rsidP="00162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1</w:t>
      </w:r>
      <w:r w:rsidR="0073653B">
        <w:rPr>
          <w:rFonts w:ascii="Times New Roman" w:hAnsi="Times New Roman" w:cs="Times New Roman"/>
          <w:spacing w:val="-4"/>
          <w:sz w:val="28"/>
          <w:szCs w:val="28"/>
        </w:rPr>
        <w:t>4</w:t>
      </w:r>
      <w:r>
        <w:rPr>
          <w:rFonts w:ascii="Times New Roman" w:hAnsi="Times New Roman" w:cs="Times New Roman"/>
          <w:spacing w:val="-4"/>
          <w:sz w:val="28"/>
          <w:szCs w:val="28"/>
        </w:rPr>
        <w:t>.</w:t>
      </w:r>
      <w:r w:rsidR="00AD472F" w:rsidRPr="00AD472F">
        <w:rPr>
          <w:rFonts w:ascii="Times New Roman" w:hAnsi="Times New Roman" w:cs="Times New Roman"/>
          <w:spacing w:val="-4"/>
          <w:sz w:val="28"/>
          <w:szCs w:val="28"/>
        </w:rPr>
        <w:t xml:space="preserve"> В ходе проведения </w:t>
      </w:r>
      <w:r w:rsidR="00AD472F" w:rsidRPr="00AD472F">
        <w:rPr>
          <w:rFonts w:ascii="Times New Roman" w:hAnsi="Times New Roman" w:cs="Times New Roman"/>
          <w:sz w:val="28"/>
          <w:szCs w:val="28"/>
        </w:rPr>
        <w:t>внешней проверки бюджетной отчетности главных администраторов бюджетных средств установлены отдельные нарушения и недостатки ведения бюджетного учета и составления отчетности.</w:t>
      </w:r>
    </w:p>
    <w:p w:rsidR="00AD472F" w:rsidRPr="00AD472F" w:rsidRDefault="00AD472F" w:rsidP="00162FB1">
      <w:pPr>
        <w:autoSpaceDE w:val="0"/>
        <w:autoSpaceDN w:val="0"/>
        <w:adjustRightInd w:val="0"/>
        <w:spacing w:after="0" w:line="240" w:lineRule="auto"/>
        <w:ind w:firstLine="709"/>
        <w:jc w:val="both"/>
        <w:rPr>
          <w:rFonts w:ascii="Times New Roman" w:hAnsi="Times New Roman" w:cs="Times New Roman"/>
          <w:sz w:val="28"/>
          <w:szCs w:val="28"/>
        </w:rPr>
      </w:pPr>
      <w:r w:rsidRPr="00AD472F">
        <w:rPr>
          <w:rFonts w:ascii="Times New Roman" w:eastAsia="Calibri" w:hAnsi="Times New Roman" w:cs="Times New Roman"/>
          <w:sz w:val="28"/>
          <w:szCs w:val="28"/>
        </w:rPr>
        <w:t>О</w:t>
      </w:r>
      <w:r w:rsidRPr="00AD472F">
        <w:rPr>
          <w:rFonts w:ascii="Times New Roman" w:hAnsi="Times New Roman" w:cs="Times New Roman"/>
          <w:sz w:val="28"/>
          <w:szCs w:val="28"/>
        </w:rPr>
        <w:t>тчеты по результатам проведенных контрольных и экспертно-аналитических мероприятий с предложениями и рекомендациями счетной палаты по устранению выявленных нарушений и недостатков направлены в соответствующие органы государственной власти Тульской области.</w:t>
      </w:r>
    </w:p>
    <w:p w:rsidR="00AD472F" w:rsidRPr="00AD472F" w:rsidRDefault="00AD472F" w:rsidP="00162FB1">
      <w:pPr>
        <w:autoSpaceDE w:val="0"/>
        <w:autoSpaceDN w:val="0"/>
        <w:adjustRightInd w:val="0"/>
        <w:spacing w:after="0" w:line="240" w:lineRule="auto"/>
        <w:ind w:firstLine="709"/>
        <w:jc w:val="both"/>
        <w:rPr>
          <w:rFonts w:ascii="Times New Roman" w:hAnsi="Times New Roman" w:cs="Times New Roman"/>
          <w:sz w:val="28"/>
          <w:szCs w:val="28"/>
        </w:rPr>
      </w:pPr>
      <w:r w:rsidRPr="00AD472F">
        <w:rPr>
          <w:rFonts w:ascii="Times New Roman" w:hAnsi="Times New Roman" w:cs="Times New Roman"/>
          <w:sz w:val="28"/>
          <w:szCs w:val="28"/>
        </w:rPr>
        <w:t>По результатам контрольных мероприятий главных администраторов бюджетных средств в целях устранения выявленных нарушений и недостатков подготовлены</w:t>
      </w:r>
      <w:r w:rsidR="005D7E03">
        <w:rPr>
          <w:rFonts w:ascii="Times New Roman" w:hAnsi="Times New Roman" w:cs="Times New Roman"/>
          <w:sz w:val="28"/>
          <w:szCs w:val="28"/>
        </w:rPr>
        <w:t xml:space="preserve"> 6 представлений, 3</w:t>
      </w:r>
      <w:r w:rsidRPr="00AD472F">
        <w:rPr>
          <w:rFonts w:ascii="Times New Roman" w:hAnsi="Times New Roman" w:cs="Times New Roman"/>
          <w:sz w:val="28"/>
          <w:szCs w:val="28"/>
        </w:rPr>
        <w:t xml:space="preserve"> протокол</w:t>
      </w:r>
      <w:r>
        <w:rPr>
          <w:rFonts w:ascii="Times New Roman" w:hAnsi="Times New Roman" w:cs="Times New Roman"/>
          <w:sz w:val="28"/>
          <w:szCs w:val="28"/>
        </w:rPr>
        <w:t>а</w:t>
      </w:r>
      <w:r w:rsidRPr="00AD472F">
        <w:rPr>
          <w:rFonts w:ascii="Times New Roman" w:hAnsi="Times New Roman" w:cs="Times New Roman"/>
          <w:sz w:val="28"/>
          <w:szCs w:val="28"/>
        </w:rPr>
        <w:t xml:space="preserve"> об административном правонарушении</w:t>
      </w:r>
      <w:r w:rsidR="00D82E7B">
        <w:rPr>
          <w:rFonts w:ascii="Times New Roman" w:hAnsi="Times New Roman" w:cs="Times New Roman"/>
          <w:sz w:val="28"/>
          <w:szCs w:val="28"/>
        </w:rPr>
        <w:t>,</w:t>
      </w:r>
      <w:r w:rsidR="00220336">
        <w:rPr>
          <w:rFonts w:ascii="Times New Roman" w:hAnsi="Times New Roman" w:cs="Times New Roman"/>
          <w:sz w:val="28"/>
          <w:szCs w:val="28"/>
        </w:rPr>
        <w:t xml:space="preserve"> </w:t>
      </w:r>
      <w:r w:rsidR="00FD2396">
        <w:rPr>
          <w:rFonts w:ascii="Times New Roman" w:hAnsi="Times New Roman" w:cs="Times New Roman"/>
          <w:sz w:val="28"/>
          <w:szCs w:val="28"/>
        </w:rPr>
        <w:t>2 информационных</w:t>
      </w:r>
      <w:r w:rsidRPr="00AD472F">
        <w:rPr>
          <w:rFonts w:ascii="Times New Roman" w:hAnsi="Times New Roman" w:cs="Times New Roman"/>
          <w:sz w:val="28"/>
          <w:szCs w:val="28"/>
        </w:rPr>
        <w:t xml:space="preserve"> письма о выявленных нарушениях в сфере закупок в министерство </w:t>
      </w:r>
      <w:r w:rsidRPr="00AD472F">
        <w:rPr>
          <w:rFonts w:ascii="Times New Roman" w:eastAsia="Calibri" w:hAnsi="Times New Roman" w:cs="Times New Roman"/>
          <w:sz w:val="28"/>
          <w:szCs w:val="28"/>
        </w:rPr>
        <w:t xml:space="preserve">по контролю и профилактике коррупционных нарушений в области. </w:t>
      </w:r>
    </w:p>
    <w:p w:rsidR="00AD472F" w:rsidRPr="00AD472F" w:rsidRDefault="00AD472F" w:rsidP="00AD472F">
      <w:pPr>
        <w:spacing w:before="120"/>
        <w:ind w:firstLine="709"/>
        <w:jc w:val="both"/>
        <w:rPr>
          <w:rFonts w:ascii="Times New Roman" w:hAnsi="Times New Roman" w:cs="Times New Roman"/>
          <w:spacing w:val="-4"/>
          <w:sz w:val="28"/>
          <w:szCs w:val="28"/>
        </w:rPr>
      </w:pPr>
      <w:r w:rsidRPr="00AD472F">
        <w:rPr>
          <w:rFonts w:ascii="Times New Roman" w:hAnsi="Times New Roman" w:cs="Times New Roman"/>
          <w:spacing w:val="-4"/>
          <w:sz w:val="28"/>
          <w:szCs w:val="28"/>
        </w:rPr>
        <w:t>Установленные в ходе внешней проверки годового отчета об исполнении бюджета области за 2020 год нарушения и недостатки не повлияли на достоверность показателей отчета об исполнении бюджета области за 2020 год в целом.</w:t>
      </w:r>
    </w:p>
    <w:p w:rsidR="00676EB0" w:rsidRDefault="00676EB0" w:rsidP="00162FB1">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AD472F">
        <w:rPr>
          <w:rFonts w:ascii="Times New Roman" w:hAnsi="Times New Roman" w:cs="Times New Roman"/>
          <w:sz w:val="28"/>
          <w:szCs w:val="28"/>
        </w:rPr>
        <w:t xml:space="preserve">Заключение по результатам внешней проверки годового отчета об исполнении бюджета </w:t>
      </w:r>
      <w:r w:rsidR="00D82E7B">
        <w:rPr>
          <w:rFonts w:ascii="Times New Roman" w:hAnsi="Times New Roman" w:cs="Times New Roman"/>
          <w:sz w:val="28"/>
          <w:szCs w:val="28"/>
        </w:rPr>
        <w:t xml:space="preserve">Тульской области за 2020 год </w:t>
      </w:r>
      <w:r w:rsidRPr="00AD472F">
        <w:rPr>
          <w:rFonts w:ascii="Times New Roman" w:hAnsi="Times New Roman" w:cs="Times New Roman"/>
          <w:sz w:val="28"/>
          <w:szCs w:val="28"/>
        </w:rPr>
        <w:t>направлено в Тульскую областную Думу, правительство Тульской области</w:t>
      </w:r>
      <w:r w:rsidR="00E716A4">
        <w:rPr>
          <w:rFonts w:ascii="Times New Roman" w:hAnsi="Times New Roman" w:cs="Times New Roman"/>
          <w:sz w:val="28"/>
          <w:szCs w:val="28"/>
        </w:rPr>
        <w:t xml:space="preserve"> </w:t>
      </w:r>
      <w:r w:rsidR="00B206ED">
        <w:rPr>
          <w:rFonts w:ascii="Times New Roman" w:hAnsi="Times New Roman" w:cs="Times New Roman"/>
          <w:sz w:val="28"/>
          <w:szCs w:val="28"/>
        </w:rPr>
        <w:t>21 мая 2021 года</w:t>
      </w:r>
      <w:r w:rsidRPr="00BF7E5F">
        <w:rPr>
          <w:rFonts w:ascii="Times New Roman" w:eastAsia="Times New Roman" w:hAnsi="Times New Roman" w:cs="Times New Roman"/>
          <w:sz w:val="28"/>
          <w:szCs w:val="28"/>
          <w:lang w:eastAsia="ru-RU"/>
        </w:rPr>
        <w:t>.</w:t>
      </w:r>
    </w:p>
    <w:p w:rsidR="00DE1561" w:rsidRDefault="00DE1561" w:rsidP="00162FB1">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p>
    <w:p w:rsidR="00DE1561" w:rsidRDefault="00DE1561" w:rsidP="00162FB1">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p>
    <w:p w:rsidR="00DE1561" w:rsidRPr="00DE1561" w:rsidRDefault="00DE1561" w:rsidP="00162FB1">
      <w:pPr>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DE1561" w:rsidRPr="00DE1561" w:rsidRDefault="00DE1561" w:rsidP="00162FB1">
      <w:pPr>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r w:rsidRPr="00DE1561">
        <w:rPr>
          <w:rFonts w:ascii="Times New Roman" w:eastAsia="Times New Roman" w:hAnsi="Times New Roman" w:cs="Times New Roman"/>
          <w:b/>
          <w:sz w:val="28"/>
          <w:szCs w:val="28"/>
          <w:lang w:eastAsia="ru-RU"/>
        </w:rPr>
        <w:t xml:space="preserve">Аудитор                                                             М.В. Титова              </w:t>
      </w:r>
    </w:p>
    <w:p w:rsidR="00220336" w:rsidRPr="006A6F9B" w:rsidRDefault="00220336" w:rsidP="00AD472F">
      <w:pPr>
        <w:tabs>
          <w:tab w:val="left" w:pos="993"/>
          <w:tab w:val="left" w:pos="1276"/>
        </w:tabs>
        <w:spacing w:before="120"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220336" w:rsidRPr="006A6F9B" w:rsidSect="00D86FE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50" w:rsidRDefault="00587650" w:rsidP="009707CA">
      <w:pPr>
        <w:spacing w:after="0" w:line="240" w:lineRule="auto"/>
      </w:pPr>
      <w:r>
        <w:separator/>
      </w:r>
    </w:p>
  </w:endnote>
  <w:endnote w:type="continuationSeparator" w:id="0">
    <w:p w:rsidR="00587650" w:rsidRDefault="00587650" w:rsidP="0097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50" w:rsidRDefault="00587650" w:rsidP="009707CA">
      <w:pPr>
        <w:spacing w:after="0" w:line="240" w:lineRule="auto"/>
      </w:pPr>
      <w:r>
        <w:separator/>
      </w:r>
    </w:p>
  </w:footnote>
  <w:footnote w:type="continuationSeparator" w:id="0">
    <w:p w:rsidR="00587650" w:rsidRDefault="00587650" w:rsidP="00970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971397"/>
      <w:docPartObj>
        <w:docPartGallery w:val="Page Numbers (Top of Page)"/>
        <w:docPartUnique/>
      </w:docPartObj>
    </w:sdtPr>
    <w:sdtEndPr/>
    <w:sdtContent>
      <w:p w:rsidR="00D86FE9" w:rsidRDefault="00D86FE9">
        <w:pPr>
          <w:pStyle w:val="a7"/>
          <w:jc w:val="center"/>
        </w:pPr>
        <w:r>
          <w:fldChar w:fldCharType="begin"/>
        </w:r>
        <w:r>
          <w:instrText>PAGE   \* MERGEFORMAT</w:instrText>
        </w:r>
        <w:r>
          <w:fldChar w:fldCharType="separate"/>
        </w:r>
        <w:r w:rsidR="00DE1561">
          <w:rPr>
            <w:noProof/>
          </w:rPr>
          <w:t>4</w:t>
        </w:r>
        <w:r>
          <w:fldChar w:fldCharType="end"/>
        </w:r>
      </w:p>
    </w:sdtContent>
  </w:sdt>
  <w:p w:rsidR="00D86FE9" w:rsidRDefault="00D86F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76B1D"/>
    <w:multiLevelType w:val="hybridMultilevel"/>
    <w:tmpl w:val="21007602"/>
    <w:lvl w:ilvl="0" w:tplc="F9609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CA"/>
    <w:rsid w:val="00044C3C"/>
    <w:rsid w:val="00045EB3"/>
    <w:rsid w:val="000672AD"/>
    <w:rsid w:val="000727CA"/>
    <w:rsid w:val="0008022A"/>
    <w:rsid w:val="0008648F"/>
    <w:rsid w:val="000B350D"/>
    <w:rsid w:val="000C51E9"/>
    <w:rsid w:val="000D17E0"/>
    <w:rsid w:val="00162FB1"/>
    <w:rsid w:val="00167A23"/>
    <w:rsid w:val="001A0A70"/>
    <w:rsid w:val="001A7875"/>
    <w:rsid w:val="001E1652"/>
    <w:rsid w:val="00220336"/>
    <w:rsid w:val="0022466F"/>
    <w:rsid w:val="0028495D"/>
    <w:rsid w:val="002A1EF1"/>
    <w:rsid w:val="00331576"/>
    <w:rsid w:val="00340580"/>
    <w:rsid w:val="00352425"/>
    <w:rsid w:val="00365C7B"/>
    <w:rsid w:val="00374C4C"/>
    <w:rsid w:val="003956C4"/>
    <w:rsid w:val="003A3EDA"/>
    <w:rsid w:val="003D1EEF"/>
    <w:rsid w:val="00445EC9"/>
    <w:rsid w:val="00470FC7"/>
    <w:rsid w:val="00476227"/>
    <w:rsid w:val="004808B1"/>
    <w:rsid w:val="004B2F29"/>
    <w:rsid w:val="00561229"/>
    <w:rsid w:val="00571DB9"/>
    <w:rsid w:val="005741BF"/>
    <w:rsid w:val="00587650"/>
    <w:rsid w:val="005D7E03"/>
    <w:rsid w:val="006462C0"/>
    <w:rsid w:val="00676EB0"/>
    <w:rsid w:val="006A12AA"/>
    <w:rsid w:val="006A2483"/>
    <w:rsid w:val="006A6F9B"/>
    <w:rsid w:val="0070150D"/>
    <w:rsid w:val="007323F6"/>
    <w:rsid w:val="0073653B"/>
    <w:rsid w:val="007A64E1"/>
    <w:rsid w:val="007A67C4"/>
    <w:rsid w:val="007C1F58"/>
    <w:rsid w:val="00852175"/>
    <w:rsid w:val="00867ACE"/>
    <w:rsid w:val="00881DE6"/>
    <w:rsid w:val="00902445"/>
    <w:rsid w:val="00915636"/>
    <w:rsid w:val="00927D90"/>
    <w:rsid w:val="0093086B"/>
    <w:rsid w:val="00952031"/>
    <w:rsid w:val="009535FA"/>
    <w:rsid w:val="00965BD1"/>
    <w:rsid w:val="009707CA"/>
    <w:rsid w:val="00981A62"/>
    <w:rsid w:val="009D7221"/>
    <w:rsid w:val="00A04358"/>
    <w:rsid w:val="00A421AE"/>
    <w:rsid w:val="00AC08A0"/>
    <w:rsid w:val="00AD472F"/>
    <w:rsid w:val="00B206ED"/>
    <w:rsid w:val="00B23C48"/>
    <w:rsid w:val="00B26AFD"/>
    <w:rsid w:val="00B57687"/>
    <w:rsid w:val="00B60B6B"/>
    <w:rsid w:val="00BF7E5F"/>
    <w:rsid w:val="00C27F3B"/>
    <w:rsid w:val="00C81D16"/>
    <w:rsid w:val="00CA121A"/>
    <w:rsid w:val="00CD4F73"/>
    <w:rsid w:val="00CE2DAE"/>
    <w:rsid w:val="00D14EC9"/>
    <w:rsid w:val="00D27AB9"/>
    <w:rsid w:val="00D64BC4"/>
    <w:rsid w:val="00D82E7B"/>
    <w:rsid w:val="00D86FE9"/>
    <w:rsid w:val="00D90273"/>
    <w:rsid w:val="00DE1561"/>
    <w:rsid w:val="00E311AF"/>
    <w:rsid w:val="00E5214E"/>
    <w:rsid w:val="00E716A4"/>
    <w:rsid w:val="00E756C8"/>
    <w:rsid w:val="00E87078"/>
    <w:rsid w:val="00EB61E2"/>
    <w:rsid w:val="00EB7563"/>
    <w:rsid w:val="00EC4081"/>
    <w:rsid w:val="00ED712E"/>
    <w:rsid w:val="00EF242C"/>
    <w:rsid w:val="00F05C25"/>
    <w:rsid w:val="00F46468"/>
    <w:rsid w:val="00F4678A"/>
    <w:rsid w:val="00F500D0"/>
    <w:rsid w:val="00F55A4A"/>
    <w:rsid w:val="00F60339"/>
    <w:rsid w:val="00F96C48"/>
    <w:rsid w:val="00FB206D"/>
    <w:rsid w:val="00FD2396"/>
    <w:rsid w:val="00FE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3BC4-F3E7-4B09-9B53-B0BC19FF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
    <w:basedOn w:val="a"/>
    <w:rsid w:val="009707CA"/>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styleId="a4">
    <w:name w:val="footnote text"/>
    <w:aliases w:val="Знак Знак Знак,Знак Знак, Знак Знак, Знак,Текст сноски1"/>
    <w:basedOn w:val="a"/>
    <w:link w:val="a5"/>
    <w:uiPriority w:val="99"/>
    <w:unhideWhenUsed/>
    <w:qFormat/>
    <w:rsid w:val="009707CA"/>
    <w:pPr>
      <w:spacing w:after="0" w:line="240" w:lineRule="auto"/>
    </w:pPr>
    <w:rPr>
      <w:sz w:val="20"/>
      <w:szCs w:val="20"/>
    </w:rPr>
  </w:style>
  <w:style w:type="character" w:customStyle="1" w:styleId="a5">
    <w:name w:val="Текст сноски Знак"/>
    <w:aliases w:val="Знак Знак Знак Знак,Знак Знак Знак1, Знак Знак Знак, Знак Знак1,Текст сноски1 Знак"/>
    <w:basedOn w:val="a0"/>
    <w:link w:val="a4"/>
    <w:uiPriority w:val="99"/>
    <w:rsid w:val="009707CA"/>
    <w:rPr>
      <w:sz w:val="20"/>
      <w:szCs w:val="20"/>
    </w:rPr>
  </w:style>
  <w:style w:type="character" w:styleId="a6">
    <w:name w:val="footnote reference"/>
    <w:aliases w:val="Знак сноски-FN,Ciae niinee-FN,Знак сноски 1,текст сноски,анкета сноска,Ciae niinee 1,fr,Used by Word for Help footnote symbols,Avg - Знак сноски,avg-Знак сноски,Referencia nota al pie,ООО Знак сноски,СНОСКА,сноска1,ftref,Avg,вески,ХИА_ЗС"/>
    <w:basedOn w:val="a0"/>
    <w:uiPriority w:val="99"/>
    <w:unhideWhenUsed/>
    <w:qFormat/>
    <w:rsid w:val="009707CA"/>
    <w:rPr>
      <w:vertAlign w:val="superscript"/>
    </w:rPr>
  </w:style>
  <w:style w:type="paragraph" w:customStyle="1" w:styleId="ListParagraph1">
    <w:name w:val="List Paragraph1"/>
    <w:basedOn w:val="a"/>
    <w:rsid w:val="009707CA"/>
    <w:pPr>
      <w:spacing w:after="200" w:line="276" w:lineRule="auto"/>
      <w:ind w:left="720"/>
    </w:pPr>
    <w:rPr>
      <w:rFonts w:ascii="Calibri" w:eastAsia="Times New Roman" w:hAnsi="Calibri" w:cs="Calibri"/>
      <w:lang w:eastAsia="ru-RU"/>
    </w:rPr>
  </w:style>
  <w:style w:type="paragraph" w:styleId="a7">
    <w:name w:val="header"/>
    <w:basedOn w:val="a"/>
    <w:link w:val="a8"/>
    <w:uiPriority w:val="99"/>
    <w:unhideWhenUsed/>
    <w:rsid w:val="00D86F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6FE9"/>
  </w:style>
  <w:style w:type="paragraph" w:styleId="a9">
    <w:name w:val="footer"/>
    <w:basedOn w:val="a"/>
    <w:link w:val="aa"/>
    <w:uiPriority w:val="99"/>
    <w:unhideWhenUsed/>
    <w:rsid w:val="00D86F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6FE9"/>
  </w:style>
  <w:style w:type="paragraph" w:styleId="ab">
    <w:name w:val="Balloon Text"/>
    <w:basedOn w:val="a"/>
    <w:link w:val="ac"/>
    <w:uiPriority w:val="99"/>
    <w:semiHidden/>
    <w:unhideWhenUsed/>
    <w:rsid w:val="00EC40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4081"/>
    <w:rPr>
      <w:rFonts w:ascii="Segoe UI" w:hAnsi="Segoe UI" w:cs="Segoe UI"/>
      <w:sz w:val="18"/>
      <w:szCs w:val="18"/>
    </w:rPr>
  </w:style>
  <w:style w:type="paragraph" w:styleId="ad">
    <w:name w:val="List Paragraph"/>
    <w:basedOn w:val="a"/>
    <w:uiPriority w:val="34"/>
    <w:qFormat/>
    <w:rsid w:val="0022466F"/>
    <w:pPr>
      <w:ind w:left="720"/>
      <w:contextualSpacing/>
    </w:pPr>
  </w:style>
  <w:style w:type="paragraph" w:customStyle="1" w:styleId="ae">
    <w:name w:val="*АБЗАЦ.БЕЗ ОТСТУПОВ"/>
    <w:link w:val="af"/>
    <w:qFormat/>
    <w:rsid w:val="00AD472F"/>
    <w:pPr>
      <w:spacing w:after="0" w:line="240" w:lineRule="auto"/>
      <w:ind w:firstLine="709"/>
      <w:jc w:val="both"/>
    </w:pPr>
    <w:rPr>
      <w:rFonts w:ascii="Times New Roman" w:eastAsia="Calibri" w:hAnsi="Times New Roman" w:cs="Times New Roman"/>
      <w:sz w:val="28"/>
    </w:rPr>
  </w:style>
  <w:style w:type="character" w:customStyle="1" w:styleId="af">
    <w:name w:val="*АБЗАЦ.БЕЗ ОТСТУПОВ Знак"/>
    <w:basedOn w:val="a0"/>
    <w:link w:val="ae"/>
    <w:rsid w:val="00AD472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322C-7413-4344-B6FF-66E147D9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Галина Рустемовна</dc:creator>
  <cp:keywords/>
  <dc:description/>
  <cp:lastModifiedBy>Кузнецова Ольга Николаевна</cp:lastModifiedBy>
  <cp:revision>3</cp:revision>
  <cp:lastPrinted>2021-07-01T11:12:00Z</cp:lastPrinted>
  <dcterms:created xsi:type="dcterms:W3CDTF">2021-07-06T12:38:00Z</dcterms:created>
  <dcterms:modified xsi:type="dcterms:W3CDTF">2021-07-06T12:39:00Z</dcterms:modified>
</cp:coreProperties>
</file>