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65" w:rsidRDefault="00D50965" w:rsidP="00D50965">
      <w:pPr>
        <w:jc w:val="both"/>
      </w:pPr>
    </w:p>
    <w:p w:rsidR="002B6261" w:rsidRDefault="002B6261" w:rsidP="00D50965">
      <w:pPr>
        <w:jc w:val="center"/>
        <w:rPr>
          <w:bCs w:val="0"/>
          <w:spacing w:val="-4"/>
        </w:rPr>
      </w:pPr>
      <w:r>
        <w:rPr>
          <w:bCs w:val="0"/>
          <w:spacing w:val="-4"/>
        </w:rPr>
        <w:t>Информация</w:t>
      </w:r>
    </w:p>
    <w:p w:rsidR="00D50965" w:rsidRPr="00FE3B07" w:rsidRDefault="002B6261" w:rsidP="00D50965">
      <w:pPr>
        <w:jc w:val="center"/>
        <w:rPr>
          <w:bCs w:val="0"/>
          <w:spacing w:val="-4"/>
        </w:rPr>
      </w:pPr>
      <w:r>
        <w:rPr>
          <w:bCs w:val="0"/>
          <w:spacing w:val="-4"/>
        </w:rPr>
        <w:t>о результатах</w:t>
      </w:r>
      <w:r w:rsidR="00D50965" w:rsidRPr="00FE3B07">
        <w:rPr>
          <w:bCs w:val="0"/>
          <w:spacing w:val="-4"/>
        </w:rPr>
        <w:t xml:space="preserve"> экспертно-аналитического мероприятия </w:t>
      </w:r>
    </w:p>
    <w:p w:rsidR="00D50965" w:rsidRPr="00FE3B07" w:rsidRDefault="00D50965" w:rsidP="00D50965">
      <w:pPr>
        <w:tabs>
          <w:tab w:val="left" w:pos="851"/>
          <w:tab w:val="left" w:pos="993"/>
        </w:tabs>
        <w:ind w:firstLine="709"/>
        <w:jc w:val="center"/>
        <w:rPr>
          <w:bCs w:val="0"/>
          <w:spacing w:val="-4"/>
        </w:rPr>
      </w:pPr>
      <w:r w:rsidRPr="00FE3B07">
        <w:rPr>
          <w:bCs w:val="0"/>
          <w:spacing w:val="-4"/>
        </w:rPr>
        <w:t>«Мониторинг реализации приоритетных проектов Тульской области в сфере образования»</w:t>
      </w:r>
    </w:p>
    <w:p w:rsidR="00D50965" w:rsidRPr="00FE3B07" w:rsidRDefault="00D50965" w:rsidP="00D50965">
      <w:pPr>
        <w:jc w:val="both"/>
      </w:pPr>
    </w:p>
    <w:p w:rsidR="00D50965" w:rsidRPr="002B6261" w:rsidRDefault="002B6261" w:rsidP="00300769">
      <w:pPr>
        <w:ind w:firstLine="709"/>
        <w:jc w:val="both"/>
        <w:rPr>
          <w:b w:val="0"/>
          <w:bCs w:val="0"/>
          <w:lang w:eastAsia="ar-SA"/>
        </w:rPr>
      </w:pPr>
      <w:r>
        <w:rPr>
          <w:b w:val="0"/>
          <w:bCs w:val="0"/>
          <w:spacing w:val="-2"/>
        </w:rPr>
        <w:t xml:space="preserve">Счетной палатой Тульской области </w:t>
      </w:r>
      <w:r w:rsidR="00D50965" w:rsidRPr="00DF5214">
        <w:rPr>
          <w:b w:val="0"/>
          <w:bCs w:val="0"/>
          <w:spacing w:val="-2"/>
        </w:rPr>
        <w:t>в соответствии с пунктом 4.1.3. Плана работы счетной палат</w:t>
      </w:r>
      <w:r>
        <w:rPr>
          <w:b w:val="0"/>
          <w:bCs w:val="0"/>
          <w:spacing w:val="-2"/>
        </w:rPr>
        <w:t xml:space="preserve">ы Тульской области на 2018 год, в период с </w:t>
      </w:r>
      <w:r w:rsidRPr="002B6261">
        <w:rPr>
          <w:b w:val="0"/>
          <w:bCs w:val="0"/>
          <w:spacing w:val="-2"/>
        </w:rPr>
        <w:t>13 июня 2018 года по 27 июля 2018 года</w:t>
      </w:r>
      <w:r>
        <w:rPr>
          <w:b w:val="0"/>
          <w:bCs w:val="0"/>
          <w:spacing w:val="-2"/>
        </w:rPr>
        <w:t xml:space="preserve">, проведено </w:t>
      </w:r>
      <w:r w:rsidRPr="002B6261">
        <w:rPr>
          <w:b w:val="0"/>
          <w:bCs w:val="0"/>
          <w:lang w:eastAsia="ar-SA"/>
        </w:rPr>
        <w:t xml:space="preserve">экспертно-аналитическое мероприятие </w:t>
      </w:r>
      <w:r w:rsidRPr="002B6261">
        <w:rPr>
          <w:b w:val="0"/>
          <w:bCs w:val="0"/>
          <w:lang w:eastAsia="ar-SA"/>
        </w:rPr>
        <w:t>«Мониторинг реализации приоритетных проектов Тульской области в сфере образования»</w:t>
      </w:r>
      <w:r w:rsidRPr="002B6261">
        <w:rPr>
          <w:b w:val="0"/>
          <w:bCs w:val="0"/>
          <w:lang w:eastAsia="ar-SA"/>
        </w:rPr>
        <w:t>.</w:t>
      </w:r>
    </w:p>
    <w:p w:rsidR="00DF5214" w:rsidRPr="002B6261" w:rsidRDefault="00DF5214" w:rsidP="00300769">
      <w:pPr>
        <w:pStyle w:val="a7"/>
        <w:ind w:left="0" w:firstLine="709"/>
        <w:jc w:val="both"/>
        <w:rPr>
          <w:b w:val="0"/>
          <w:bCs w:val="0"/>
          <w:i/>
          <w:lang w:eastAsia="ar-SA"/>
        </w:rPr>
      </w:pPr>
      <w:r w:rsidRPr="002B6261">
        <w:rPr>
          <w:b w:val="0"/>
          <w:bCs w:val="0"/>
          <w:i/>
          <w:lang w:eastAsia="ar-SA"/>
        </w:rPr>
        <w:t>Предмет экспертно-аналитического мероприятия:</w:t>
      </w:r>
    </w:p>
    <w:p w:rsidR="00DF5214" w:rsidRPr="00DF5214" w:rsidRDefault="00DF5214" w:rsidP="00300769">
      <w:pPr>
        <w:pStyle w:val="a7"/>
        <w:ind w:left="0" w:firstLine="709"/>
        <w:jc w:val="both"/>
        <w:rPr>
          <w:b w:val="0"/>
          <w:bCs w:val="0"/>
          <w:lang w:eastAsia="ar-SA"/>
        </w:rPr>
      </w:pPr>
      <w:r>
        <w:rPr>
          <w:b w:val="0"/>
          <w:bCs w:val="0"/>
          <w:lang w:eastAsia="ar-SA"/>
        </w:rPr>
        <w:t xml:space="preserve">- </w:t>
      </w:r>
      <w:r w:rsidRPr="00DF5214">
        <w:rPr>
          <w:b w:val="0"/>
          <w:bCs w:val="0"/>
          <w:lang w:eastAsia="ar-SA"/>
        </w:rPr>
        <w:t>анализ нормативной правовой и методической базы по организации и ведению проектной деятельности и соблюдение положений нормативных правовых актов, методических рекомендаций;</w:t>
      </w:r>
    </w:p>
    <w:p w:rsidR="00DF5214" w:rsidRPr="00DF5214" w:rsidRDefault="00DF5214" w:rsidP="00300769">
      <w:pPr>
        <w:pStyle w:val="a7"/>
        <w:ind w:left="0" w:firstLine="709"/>
        <w:jc w:val="both"/>
        <w:rPr>
          <w:b w:val="0"/>
          <w:bCs w:val="0"/>
          <w:lang w:eastAsia="ar-SA"/>
        </w:rPr>
      </w:pPr>
      <w:r>
        <w:rPr>
          <w:b w:val="0"/>
          <w:bCs w:val="0"/>
          <w:lang w:eastAsia="ar-SA"/>
        </w:rPr>
        <w:t xml:space="preserve">- </w:t>
      </w:r>
      <w:r w:rsidRPr="00DF5214">
        <w:rPr>
          <w:b w:val="0"/>
          <w:bCs w:val="0"/>
          <w:lang w:eastAsia="ar-SA"/>
        </w:rPr>
        <w:t>анализ организационной структуры проектной деятельности в министерстве образования Тульской области;</w:t>
      </w:r>
    </w:p>
    <w:p w:rsidR="00DF5214" w:rsidRPr="00DF5214" w:rsidRDefault="00DF5214" w:rsidP="00300769">
      <w:pPr>
        <w:pStyle w:val="a7"/>
        <w:ind w:left="0" w:firstLine="709"/>
        <w:jc w:val="both"/>
        <w:rPr>
          <w:b w:val="0"/>
          <w:bCs w:val="0"/>
          <w:lang w:eastAsia="ar-SA"/>
        </w:rPr>
      </w:pPr>
      <w:r>
        <w:rPr>
          <w:b w:val="0"/>
          <w:bCs w:val="0"/>
          <w:lang w:eastAsia="ar-SA"/>
        </w:rPr>
        <w:t xml:space="preserve">- </w:t>
      </w:r>
      <w:r w:rsidRPr="00DF5214">
        <w:rPr>
          <w:b w:val="0"/>
          <w:bCs w:val="0"/>
          <w:lang w:eastAsia="ar-SA"/>
        </w:rPr>
        <w:t>определение перечня приоритетных проектов и программ, реализуемых министерством образования Тульской области, и объемов финансовых средств, предусмотренных на их реализацию;</w:t>
      </w:r>
    </w:p>
    <w:p w:rsidR="00DF5214" w:rsidRPr="00DF5214" w:rsidRDefault="00DF5214" w:rsidP="00300769">
      <w:pPr>
        <w:pStyle w:val="a7"/>
        <w:ind w:left="0" w:firstLine="709"/>
        <w:jc w:val="both"/>
        <w:rPr>
          <w:b w:val="0"/>
          <w:bCs w:val="0"/>
          <w:lang w:eastAsia="ar-SA"/>
        </w:rPr>
      </w:pPr>
      <w:r>
        <w:rPr>
          <w:b w:val="0"/>
          <w:bCs w:val="0"/>
          <w:lang w:eastAsia="ar-SA"/>
        </w:rPr>
        <w:t xml:space="preserve">- </w:t>
      </w:r>
      <w:r w:rsidRPr="00DF5214">
        <w:rPr>
          <w:b w:val="0"/>
          <w:bCs w:val="0"/>
          <w:lang w:eastAsia="ar-SA"/>
        </w:rPr>
        <w:t>определение интегрированности приоритетных проектов, реализуемых министерством образования Тульской области в государственные программы Тульской области;</w:t>
      </w:r>
    </w:p>
    <w:p w:rsidR="00DF5214" w:rsidRPr="00DF5214" w:rsidRDefault="00DF5214" w:rsidP="00300769">
      <w:pPr>
        <w:pStyle w:val="a7"/>
        <w:ind w:left="0" w:firstLine="709"/>
        <w:jc w:val="both"/>
        <w:rPr>
          <w:b w:val="0"/>
          <w:bCs w:val="0"/>
          <w:lang w:eastAsia="ar-SA"/>
        </w:rPr>
      </w:pPr>
      <w:r>
        <w:rPr>
          <w:b w:val="0"/>
          <w:bCs w:val="0"/>
          <w:lang w:eastAsia="ar-SA"/>
        </w:rPr>
        <w:t xml:space="preserve">- </w:t>
      </w:r>
      <w:r w:rsidRPr="00DF5214">
        <w:rPr>
          <w:b w:val="0"/>
          <w:bCs w:val="0"/>
          <w:lang w:eastAsia="ar-SA"/>
        </w:rPr>
        <w:t>оценка взаимосвязи целей, показателей, результатов, модели функционирования приоритетного проекта, этапов и контрольных точек его реализации, отраженных в паспорте приоритетного проекта;</w:t>
      </w:r>
    </w:p>
    <w:p w:rsidR="00DF5214" w:rsidRPr="00DF5214" w:rsidRDefault="00DF5214" w:rsidP="00300769">
      <w:pPr>
        <w:pStyle w:val="a7"/>
        <w:ind w:left="0" w:firstLine="709"/>
        <w:jc w:val="both"/>
        <w:rPr>
          <w:b w:val="0"/>
          <w:bCs w:val="0"/>
          <w:lang w:eastAsia="ar-SA"/>
        </w:rPr>
      </w:pPr>
      <w:r>
        <w:rPr>
          <w:b w:val="0"/>
          <w:bCs w:val="0"/>
          <w:lang w:eastAsia="ar-SA"/>
        </w:rPr>
        <w:t xml:space="preserve">- </w:t>
      </w:r>
      <w:r w:rsidRPr="00DF5214">
        <w:rPr>
          <w:b w:val="0"/>
          <w:bCs w:val="0"/>
          <w:lang w:eastAsia="ar-SA"/>
        </w:rPr>
        <w:t>отчеты о ходе реализации приоритетных проектов, включая статус их реализации, сведения об расходах бюджета Тульской области, об исполнении контрольных точек, достижение установленных показателей, сведения об исполнении бюджета проекта, использование бюджетных средств конечными получателями и достигнутых конечных результатов;</w:t>
      </w:r>
    </w:p>
    <w:p w:rsidR="00DF5214" w:rsidRPr="00DF5214" w:rsidRDefault="00DF5214" w:rsidP="00300769">
      <w:pPr>
        <w:pStyle w:val="a7"/>
        <w:ind w:left="0" w:firstLine="709"/>
        <w:jc w:val="both"/>
        <w:rPr>
          <w:b w:val="0"/>
          <w:bCs w:val="0"/>
          <w:lang w:eastAsia="ar-SA"/>
        </w:rPr>
      </w:pPr>
      <w:r>
        <w:rPr>
          <w:b w:val="0"/>
          <w:bCs w:val="0"/>
          <w:lang w:eastAsia="ar-SA"/>
        </w:rPr>
        <w:t xml:space="preserve">- </w:t>
      </w:r>
      <w:r w:rsidRPr="00DF5214">
        <w:rPr>
          <w:b w:val="0"/>
          <w:bCs w:val="0"/>
          <w:lang w:eastAsia="ar-SA"/>
        </w:rPr>
        <w:t>анализ соответствия состава исполнителей (соисполнителей) мероприятий приоритетных проектов, утвержденного в паспортах приоритетных проектов, министерством образования Тульской области, в соответствии с Законом о бюджете Тульской области;</w:t>
      </w:r>
    </w:p>
    <w:p w:rsidR="00DF5214" w:rsidRDefault="00DF5214" w:rsidP="00300769">
      <w:pPr>
        <w:pStyle w:val="a7"/>
        <w:ind w:left="0" w:firstLine="709"/>
        <w:jc w:val="both"/>
        <w:rPr>
          <w:b w:val="0"/>
          <w:bCs w:val="0"/>
          <w:lang w:eastAsia="ar-SA"/>
        </w:rPr>
      </w:pPr>
      <w:r>
        <w:rPr>
          <w:b w:val="0"/>
          <w:bCs w:val="0"/>
          <w:lang w:eastAsia="ar-SA"/>
        </w:rPr>
        <w:t xml:space="preserve">- </w:t>
      </w:r>
      <w:r w:rsidRPr="00DF5214">
        <w:rPr>
          <w:b w:val="0"/>
          <w:bCs w:val="0"/>
          <w:lang w:eastAsia="ar-SA"/>
        </w:rPr>
        <w:t>соответствие объемов бюджетных ассигнований, предусмотренных на реализацию приоритетных проектов бюджету Тульской области, показателям паспорта приоритетных проектов;</w:t>
      </w:r>
    </w:p>
    <w:p w:rsidR="00DF5214" w:rsidRDefault="00DF5214" w:rsidP="00300769">
      <w:pPr>
        <w:pStyle w:val="a7"/>
        <w:ind w:left="0" w:firstLine="709"/>
        <w:jc w:val="both"/>
        <w:rPr>
          <w:b w:val="0"/>
          <w:bCs w:val="0"/>
          <w:lang w:eastAsia="ar-SA"/>
        </w:rPr>
      </w:pPr>
      <w:r>
        <w:rPr>
          <w:b w:val="0"/>
          <w:bCs w:val="0"/>
          <w:lang w:eastAsia="ar-SA"/>
        </w:rPr>
        <w:t xml:space="preserve">- </w:t>
      </w:r>
      <w:r w:rsidRPr="00DF5214">
        <w:rPr>
          <w:b w:val="0"/>
          <w:bCs w:val="0"/>
          <w:lang w:eastAsia="ar-SA"/>
        </w:rPr>
        <w:t>иные материалы и документы.</w:t>
      </w:r>
    </w:p>
    <w:p w:rsidR="00D50965" w:rsidRPr="002B6261" w:rsidRDefault="00D50965" w:rsidP="00300769">
      <w:pPr>
        <w:pStyle w:val="a7"/>
        <w:ind w:left="0" w:firstLine="709"/>
        <w:jc w:val="both"/>
        <w:rPr>
          <w:b w:val="0"/>
          <w:i/>
        </w:rPr>
      </w:pPr>
      <w:r w:rsidRPr="002B6261">
        <w:rPr>
          <w:b w:val="0"/>
          <w:i/>
        </w:rPr>
        <w:t xml:space="preserve">Цели экспертно-аналитического мероприятия: </w:t>
      </w:r>
    </w:p>
    <w:p w:rsidR="00D50965" w:rsidRPr="00FE3B07" w:rsidRDefault="002B6261" w:rsidP="00300769">
      <w:pPr>
        <w:pStyle w:val="a3"/>
        <w:ind w:firstLine="709"/>
        <w:jc w:val="both"/>
        <w:rPr>
          <w:sz w:val="28"/>
          <w:szCs w:val="28"/>
        </w:rPr>
      </w:pPr>
      <w:r>
        <w:rPr>
          <w:sz w:val="28"/>
          <w:szCs w:val="28"/>
        </w:rPr>
        <w:t>- </w:t>
      </w:r>
      <w:r w:rsidR="00D50965" w:rsidRPr="00FE3B07">
        <w:rPr>
          <w:sz w:val="28"/>
          <w:szCs w:val="28"/>
        </w:rPr>
        <w:t>анализ нормативной правовой и методической базы приоритетных проектов, реализуемых министерством образования Тульской области;</w:t>
      </w:r>
    </w:p>
    <w:p w:rsidR="00D50965" w:rsidRPr="00FE3B07" w:rsidRDefault="002B6261" w:rsidP="00300769">
      <w:pPr>
        <w:pStyle w:val="a3"/>
        <w:ind w:firstLine="709"/>
        <w:jc w:val="both"/>
        <w:rPr>
          <w:sz w:val="28"/>
          <w:szCs w:val="28"/>
        </w:rPr>
      </w:pPr>
      <w:r>
        <w:rPr>
          <w:sz w:val="28"/>
          <w:szCs w:val="28"/>
        </w:rPr>
        <w:t>- </w:t>
      </w:r>
      <w:r w:rsidR="00D50965" w:rsidRPr="00FE3B07">
        <w:rPr>
          <w:sz w:val="28"/>
          <w:szCs w:val="28"/>
        </w:rPr>
        <w:t xml:space="preserve">анализ достижения установленных показателей приоритетных проектов, реализуемых министерством образования Тульской области. </w:t>
      </w:r>
    </w:p>
    <w:p w:rsidR="00D50965" w:rsidRPr="00FE3B07" w:rsidRDefault="005D7D53" w:rsidP="00300769">
      <w:pPr>
        <w:pStyle w:val="a3"/>
        <w:ind w:firstLine="709"/>
        <w:jc w:val="both"/>
        <w:rPr>
          <w:sz w:val="28"/>
          <w:szCs w:val="28"/>
        </w:rPr>
      </w:pPr>
      <w:r w:rsidRPr="002B6261">
        <w:rPr>
          <w:bCs/>
          <w:i/>
          <w:sz w:val="28"/>
          <w:szCs w:val="28"/>
        </w:rPr>
        <w:lastRenderedPageBreak/>
        <w:t>Проверяемый субъект</w:t>
      </w:r>
      <w:r w:rsidRPr="00FE3B07">
        <w:rPr>
          <w:bCs/>
          <w:sz w:val="28"/>
          <w:szCs w:val="28"/>
        </w:rPr>
        <w:t xml:space="preserve"> - м</w:t>
      </w:r>
      <w:r w:rsidR="00D50965" w:rsidRPr="00FE3B07">
        <w:rPr>
          <w:bCs/>
          <w:sz w:val="28"/>
          <w:szCs w:val="28"/>
        </w:rPr>
        <w:t>инистерство образования Тульской области.</w:t>
      </w:r>
    </w:p>
    <w:p w:rsidR="00D50965" w:rsidRDefault="00D50965" w:rsidP="00300769">
      <w:pPr>
        <w:pStyle w:val="a3"/>
        <w:ind w:firstLine="709"/>
        <w:jc w:val="both"/>
        <w:rPr>
          <w:sz w:val="28"/>
          <w:szCs w:val="28"/>
        </w:rPr>
      </w:pPr>
      <w:r w:rsidRPr="002B6261">
        <w:rPr>
          <w:i/>
          <w:sz w:val="28"/>
          <w:szCs w:val="28"/>
        </w:rPr>
        <w:t>Проверяемый период:</w:t>
      </w:r>
      <w:r w:rsidRPr="00FE3B07">
        <w:rPr>
          <w:b/>
          <w:sz w:val="28"/>
          <w:szCs w:val="28"/>
        </w:rPr>
        <w:t xml:space="preserve"> </w:t>
      </w:r>
      <w:r w:rsidRPr="00FE3B07">
        <w:rPr>
          <w:sz w:val="28"/>
          <w:szCs w:val="28"/>
        </w:rPr>
        <w:t>2017 год.</w:t>
      </w:r>
    </w:p>
    <w:p w:rsidR="002B6261" w:rsidRDefault="002B6261" w:rsidP="00300769">
      <w:pPr>
        <w:pStyle w:val="a3"/>
        <w:ind w:firstLine="709"/>
        <w:jc w:val="both"/>
        <w:rPr>
          <w:sz w:val="28"/>
          <w:szCs w:val="28"/>
        </w:rPr>
      </w:pPr>
    </w:p>
    <w:p w:rsidR="002B6261" w:rsidRDefault="002B6261" w:rsidP="00300769">
      <w:pPr>
        <w:ind w:firstLine="709"/>
        <w:jc w:val="both"/>
        <w:rPr>
          <w:b w:val="0"/>
          <w:bCs w:val="0"/>
        </w:rPr>
      </w:pPr>
      <w:r>
        <w:rPr>
          <w:b w:val="0"/>
          <w:bCs w:val="0"/>
        </w:rPr>
        <w:t>По результатам экспертно-аналитического мероприятия установлено следующее.</w:t>
      </w:r>
    </w:p>
    <w:p w:rsidR="00B2470F" w:rsidRPr="00FE3B07" w:rsidRDefault="00B2470F"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В рамках стратегического направления развития «Образование» в Тульской области реализуется пять приоритетных проектов на сумму 1 965 446,1 тыс. рублей, из которых четыре</w:t>
      </w:r>
      <w:r w:rsidR="006035EB" w:rsidRPr="00FE3B07">
        <w:rPr>
          <w:rFonts w:eastAsiaTheme="minorHAnsi"/>
          <w:b w:val="0"/>
          <w:bCs w:val="0"/>
          <w:lang w:eastAsia="en-US"/>
        </w:rPr>
        <w:t xml:space="preserve"> проекта («Создание современной образовательной среды для школьников»; «Электронная образовательная среда Тульской области – «Виртуальная школа» Тульской области»; «Развитие системы дополнительного образования Тульской области»; «Квалифицированные рабочие кадры для Тульской области») на сумму                1 484 309,9 тыс. рублей</w:t>
      </w:r>
      <w:r w:rsidRPr="00FE3B07">
        <w:rPr>
          <w:rFonts w:eastAsiaTheme="minorHAnsi"/>
          <w:b w:val="0"/>
          <w:bCs w:val="0"/>
          <w:lang w:eastAsia="en-US"/>
        </w:rPr>
        <w:t xml:space="preserve"> отнесены к портфелю «Приоритетные проекты»</w:t>
      </w:r>
      <w:r w:rsidR="00425A1F" w:rsidRPr="00FE3B07">
        <w:rPr>
          <w:rFonts w:eastAsiaTheme="minorHAnsi"/>
          <w:b w:val="0"/>
          <w:bCs w:val="0"/>
          <w:lang w:eastAsia="en-US"/>
        </w:rPr>
        <w:t>, о</w:t>
      </w:r>
      <w:r w:rsidRPr="00FE3B07">
        <w:rPr>
          <w:rFonts w:eastAsiaTheme="minorHAnsi"/>
          <w:b w:val="0"/>
          <w:bCs w:val="0"/>
          <w:lang w:eastAsia="en-US"/>
        </w:rPr>
        <w:t xml:space="preserve">дин проект </w:t>
      </w:r>
      <w:r w:rsidR="006035EB" w:rsidRPr="00FE3B07">
        <w:rPr>
          <w:rFonts w:eastAsiaTheme="minorHAnsi"/>
          <w:b w:val="0"/>
          <w:bCs w:val="0"/>
          <w:lang w:eastAsia="en-US"/>
        </w:rPr>
        <w:t xml:space="preserve">(«Доступное дошкольное образование») на сумму 481 136,2 тыс. рублей </w:t>
      </w:r>
      <w:r w:rsidRPr="00FE3B07">
        <w:rPr>
          <w:rFonts w:eastAsiaTheme="minorHAnsi"/>
          <w:b w:val="0"/>
          <w:bCs w:val="0"/>
          <w:lang w:eastAsia="en-US"/>
        </w:rPr>
        <w:t xml:space="preserve">отнесен к </w:t>
      </w:r>
      <w:r w:rsidR="00425A1F" w:rsidRPr="00FE3B07">
        <w:rPr>
          <w:rFonts w:eastAsiaTheme="minorHAnsi"/>
          <w:b w:val="0"/>
          <w:bCs w:val="0"/>
          <w:lang w:eastAsia="en-US"/>
        </w:rPr>
        <w:t xml:space="preserve">портфелю «Региональные проекты». </w:t>
      </w:r>
    </w:p>
    <w:p w:rsidR="00425A1F" w:rsidRPr="00FE3B07" w:rsidRDefault="00425A1F"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В 2017 году расходы бюджета области по данным проектам исполнены в объеме 1</w:t>
      </w:r>
      <w:r w:rsidR="002B6261">
        <w:rPr>
          <w:rFonts w:eastAsiaTheme="minorHAnsi"/>
          <w:b w:val="0"/>
          <w:bCs w:val="0"/>
          <w:lang w:eastAsia="en-US"/>
        </w:rPr>
        <w:t> 323 373,3 тыс. </w:t>
      </w:r>
      <w:r w:rsidRPr="00FE3B07">
        <w:rPr>
          <w:rFonts w:eastAsiaTheme="minorHAnsi"/>
          <w:b w:val="0"/>
          <w:bCs w:val="0"/>
          <w:lang w:eastAsia="en-US"/>
        </w:rPr>
        <w:t>рублей, что составляет 67,3% от объемов финансирования указанных в паспортах проектов (1 965 446,1 тыс. рублей); 91,8 % от законодательно утвержденных бюджетных ассигно</w:t>
      </w:r>
      <w:r w:rsidR="002B6261">
        <w:rPr>
          <w:rFonts w:eastAsiaTheme="minorHAnsi"/>
          <w:b w:val="0"/>
          <w:bCs w:val="0"/>
          <w:lang w:eastAsia="en-US"/>
        </w:rPr>
        <w:t>ваний                        (1 440 919,9 тыс. рублей); 92,2 </w:t>
      </w:r>
      <w:r w:rsidRPr="00FE3B07">
        <w:rPr>
          <w:rFonts w:eastAsiaTheme="minorHAnsi"/>
          <w:b w:val="0"/>
          <w:bCs w:val="0"/>
          <w:lang w:eastAsia="en-US"/>
        </w:rPr>
        <w:t>% от показателей уточненн</w:t>
      </w:r>
      <w:r w:rsidR="002B6261">
        <w:rPr>
          <w:rFonts w:eastAsiaTheme="minorHAnsi"/>
          <w:b w:val="0"/>
          <w:bCs w:val="0"/>
          <w:lang w:eastAsia="en-US"/>
        </w:rPr>
        <w:t>ой сводной бюджетной росписи (1 436 060,4 тыс. </w:t>
      </w:r>
      <w:r w:rsidRPr="00FE3B07">
        <w:rPr>
          <w:rFonts w:eastAsiaTheme="minorHAnsi"/>
          <w:b w:val="0"/>
          <w:bCs w:val="0"/>
          <w:lang w:eastAsia="en-US"/>
        </w:rPr>
        <w:t>рублей).</w:t>
      </w:r>
    </w:p>
    <w:p w:rsidR="00BA0E3B" w:rsidRPr="00FE3B07" w:rsidRDefault="00BA0E3B"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Основную долю расходов в 2017 году по приоритетным проектам составля</w:t>
      </w:r>
      <w:r w:rsidR="005B6DC3" w:rsidRPr="00FE3B07">
        <w:rPr>
          <w:rFonts w:eastAsiaTheme="minorHAnsi"/>
          <w:b w:val="0"/>
          <w:bCs w:val="0"/>
          <w:lang w:eastAsia="en-US"/>
        </w:rPr>
        <w:t>ли с</w:t>
      </w:r>
      <w:r w:rsidRPr="00FE3B07">
        <w:rPr>
          <w:rFonts w:eastAsiaTheme="minorHAnsi"/>
          <w:b w:val="0"/>
          <w:bCs w:val="0"/>
          <w:lang w:eastAsia="en-US"/>
        </w:rPr>
        <w:t>убсидии, за исключением субсидий на софинансирование капитальных вложений в объекты государственно</w:t>
      </w:r>
      <w:r w:rsidR="005B6DC3" w:rsidRPr="00FE3B07">
        <w:rPr>
          <w:rFonts w:eastAsiaTheme="minorHAnsi"/>
          <w:b w:val="0"/>
          <w:bCs w:val="0"/>
          <w:lang w:eastAsia="en-US"/>
        </w:rPr>
        <w:t>й (муниципальной) собственности</w:t>
      </w:r>
      <w:r w:rsidRPr="00FE3B07">
        <w:rPr>
          <w:rFonts w:eastAsiaTheme="minorHAnsi"/>
          <w:b w:val="0"/>
          <w:bCs w:val="0"/>
          <w:lang w:eastAsia="en-US"/>
        </w:rPr>
        <w:t xml:space="preserve"> - </w:t>
      </w:r>
      <w:r w:rsidR="002B6261">
        <w:rPr>
          <w:rFonts w:eastAsiaTheme="minorHAnsi"/>
          <w:b w:val="0"/>
          <w:bCs w:val="0"/>
          <w:lang w:eastAsia="en-US"/>
        </w:rPr>
        <w:t>832 180,7 тыс. рублей, или 62,9 </w:t>
      </w:r>
      <w:r w:rsidRPr="00FE3B07">
        <w:rPr>
          <w:rFonts w:eastAsiaTheme="minorHAnsi"/>
          <w:b w:val="0"/>
          <w:bCs w:val="0"/>
          <w:lang w:eastAsia="en-US"/>
        </w:rPr>
        <w:t>% от произведе</w:t>
      </w:r>
      <w:r w:rsidR="002B6261">
        <w:rPr>
          <w:rFonts w:eastAsiaTheme="minorHAnsi"/>
          <w:b w:val="0"/>
          <w:bCs w:val="0"/>
          <w:lang w:eastAsia="en-US"/>
        </w:rPr>
        <w:t>нных расходов (1 323 373,3 тыс. </w:t>
      </w:r>
      <w:r w:rsidRPr="00FE3B07">
        <w:rPr>
          <w:rFonts w:eastAsiaTheme="minorHAnsi"/>
          <w:b w:val="0"/>
          <w:bCs w:val="0"/>
          <w:lang w:eastAsia="en-US"/>
        </w:rPr>
        <w:t>рублей); субвенции бюджетам муниципальн</w:t>
      </w:r>
      <w:r w:rsidR="002B6261">
        <w:rPr>
          <w:rFonts w:eastAsiaTheme="minorHAnsi"/>
          <w:b w:val="0"/>
          <w:bCs w:val="0"/>
          <w:lang w:eastAsia="en-US"/>
        </w:rPr>
        <w:t>ых образований - 318 051,9 тыс. рублей, или 24,0 </w:t>
      </w:r>
      <w:r w:rsidRPr="00FE3B07">
        <w:rPr>
          <w:rFonts w:eastAsiaTheme="minorHAnsi"/>
          <w:b w:val="0"/>
          <w:bCs w:val="0"/>
          <w:lang w:eastAsia="en-US"/>
        </w:rPr>
        <w:t>% от произведенных расходов; субсидии бюджетным учреждениям на иные цели -</w:t>
      </w:r>
      <w:r w:rsidR="005B6DC3" w:rsidRPr="00FE3B07">
        <w:rPr>
          <w:rFonts w:eastAsiaTheme="minorHAnsi"/>
          <w:b w:val="0"/>
          <w:bCs w:val="0"/>
          <w:lang w:eastAsia="en-US"/>
        </w:rPr>
        <w:t xml:space="preserve"> </w:t>
      </w:r>
      <w:r w:rsidR="0008727E">
        <w:rPr>
          <w:rFonts w:eastAsiaTheme="minorHAnsi"/>
          <w:b w:val="0"/>
          <w:bCs w:val="0"/>
          <w:lang w:eastAsia="en-US"/>
        </w:rPr>
        <w:t>150 209,9 тыс. </w:t>
      </w:r>
      <w:r w:rsidRPr="00FE3B07">
        <w:rPr>
          <w:rFonts w:eastAsiaTheme="minorHAnsi"/>
          <w:b w:val="0"/>
          <w:bCs w:val="0"/>
          <w:lang w:eastAsia="en-US"/>
        </w:rPr>
        <w:t>рублей, или 11,4% от произведенных расходов.</w:t>
      </w:r>
    </w:p>
    <w:p w:rsidR="00102871" w:rsidRPr="00FE3B07" w:rsidRDefault="0008727E" w:rsidP="00300769">
      <w:pPr>
        <w:tabs>
          <w:tab w:val="left" w:pos="993"/>
        </w:tabs>
        <w:ind w:firstLine="709"/>
        <w:jc w:val="both"/>
        <w:rPr>
          <w:rFonts w:eastAsiaTheme="minorHAnsi"/>
          <w:b w:val="0"/>
          <w:bCs w:val="0"/>
          <w:lang w:eastAsia="en-US"/>
        </w:rPr>
      </w:pPr>
      <w:r>
        <w:rPr>
          <w:rFonts w:eastAsiaTheme="minorHAnsi"/>
          <w:b w:val="0"/>
          <w:bCs w:val="0"/>
          <w:lang w:eastAsia="en-US"/>
        </w:rPr>
        <w:t>В ходе а</w:t>
      </w:r>
      <w:r w:rsidR="001F4A25" w:rsidRPr="00FE3B07">
        <w:rPr>
          <w:rFonts w:eastAsiaTheme="minorHAnsi"/>
          <w:b w:val="0"/>
          <w:bCs w:val="0"/>
          <w:lang w:eastAsia="en-US"/>
        </w:rPr>
        <w:t>нализ</w:t>
      </w:r>
      <w:r>
        <w:rPr>
          <w:rFonts w:eastAsiaTheme="minorHAnsi"/>
          <w:b w:val="0"/>
          <w:bCs w:val="0"/>
          <w:lang w:eastAsia="en-US"/>
        </w:rPr>
        <w:t>а</w:t>
      </w:r>
      <w:r w:rsidR="001F4A25" w:rsidRPr="00FE3B07">
        <w:rPr>
          <w:rFonts w:eastAsiaTheme="minorHAnsi"/>
          <w:b w:val="0"/>
          <w:bCs w:val="0"/>
          <w:lang w:eastAsia="en-US"/>
        </w:rPr>
        <w:t xml:space="preserve"> представленных документов, </w:t>
      </w:r>
      <w:r>
        <w:rPr>
          <w:rFonts w:eastAsiaTheme="minorHAnsi"/>
          <w:b w:val="0"/>
          <w:bCs w:val="0"/>
          <w:lang w:eastAsia="en-US"/>
        </w:rPr>
        <w:t xml:space="preserve">выявлены недостатки по оформлению </w:t>
      </w:r>
      <w:r w:rsidR="006035EB" w:rsidRPr="00FE3B07">
        <w:rPr>
          <w:rFonts w:eastAsiaTheme="minorHAnsi"/>
          <w:b w:val="0"/>
          <w:bCs w:val="0"/>
          <w:lang w:eastAsia="en-US"/>
        </w:rPr>
        <w:t xml:space="preserve">паспортов проектов не </w:t>
      </w:r>
      <w:r>
        <w:rPr>
          <w:rFonts w:eastAsiaTheme="minorHAnsi"/>
          <w:b w:val="0"/>
          <w:bCs w:val="0"/>
          <w:lang w:eastAsia="en-US"/>
        </w:rPr>
        <w:t>в соответствии с</w:t>
      </w:r>
      <w:r w:rsidR="006035EB" w:rsidRPr="00FE3B07">
        <w:rPr>
          <w:rFonts w:eastAsiaTheme="minorHAnsi"/>
          <w:b w:val="0"/>
          <w:bCs w:val="0"/>
          <w:lang w:eastAsia="en-US"/>
        </w:rPr>
        <w:t xml:space="preserve"> требованиям</w:t>
      </w:r>
      <w:r>
        <w:rPr>
          <w:rFonts w:eastAsiaTheme="minorHAnsi"/>
          <w:b w:val="0"/>
          <w:bCs w:val="0"/>
          <w:lang w:eastAsia="en-US"/>
        </w:rPr>
        <w:t>и</w:t>
      </w:r>
      <w:r w:rsidR="006035EB" w:rsidRPr="00FE3B07">
        <w:rPr>
          <w:rFonts w:eastAsiaTheme="minorHAnsi"/>
          <w:b w:val="0"/>
          <w:bCs w:val="0"/>
          <w:lang w:eastAsia="en-US"/>
        </w:rPr>
        <w:t xml:space="preserve"> Методических рекомендаций по подготовке паспорта проекта (по причине утверждения паспорта до момента утверждения Методических рекомендаций и отс</w:t>
      </w:r>
      <w:r>
        <w:rPr>
          <w:rFonts w:eastAsiaTheme="minorHAnsi"/>
          <w:b w:val="0"/>
          <w:bCs w:val="0"/>
          <w:lang w:eastAsia="en-US"/>
        </w:rPr>
        <w:t>утствия последующих изменений).</w:t>
      </w:r>
    </w:p>
    <w:p w:rsidR="002668AF" w:rsidRPr="00FE3B07" w:rsidRDefault="00102871"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О</w:t>
      </w:r>
      <w:r w:rsidR="006035EB" w:rsidRPr="00FE3B07">
        <w:rPr>
          <w:rFonts w:eastAsiaTheme="minorHAnsi"/>
          <w:b w:val="0"/>
          <w:bCs w:val="0"/>
          <w:lang w:eastAsia="en-US"/>
        </w:rPr>
        <w:t>бъемы финансирования, утвержденные в паспортах проектов</w:t>
      </w:r>
      <w:r w:rsidR="00EC0472" w:rsidRPr="00FE3B07">
        <w:rPr>
          <w:rFonts w:eastAsiaTheme="minorHAnsi"/>
          <w:b w:val="0"/>
          <w:bCs w:val="0"/>
          <w:lang w:eastAsia="en-US"/>
        </w:rPr>
        <w:t xml:space="preserve"> (1 965 446,1 тыс. рублей)</w:t>
      </w:r>
      <w:r w:rsidR="006035EB" w:rsidRPr="00FE3B07">
        <w:rPr>
          <w:rFonts w:eastAsiaTheme="minorHAnsi"/>
          <w:b w:val="0"/>
          <w:bCs w:val="0"/>
          <w:lang w:eastAsia="en-US"/>
        </w:rPr>
        <w:t>, не соответствуют законодательно утвержденным бюджетным ассигнованиям</w:t>
      </w:r>
      <w:r w:rsidR="00EC0472" w:rsidRPr="00FE3B07">
        <w:rPr>
          <w:rFonts w:eastAsiaTheme="minorHAnsi"/>
          <w:b w:val="0"/>
          <w:bCs w:val="0"/>
          <w:lang w:eastAsia="en-US"/>
        </w:rPr>
        <w:t xml:space="preserve"> (1 440 919,9 тыс. рублей)</w:t>
      </w:r>
      <w:r w:rsidR="006035EB" w:rsidRPr="00FE3B07">
        <w:rPr>
          <w:rFonts w:eastAsiaTheme="minorHAnsi"/>
          <w:b w:val="0"/>
          <w:bCs w:val="0"/>
          <w:lang w:eastAsia="en-US"/>
        </w:rPr>
        <w:t>, сводной бюджетной росписи</w:t>
      </w:r>
      <w:r w:rsidR="00EC0472" w:rsidRPr="00FE3B07">
        <w:rPr>
          <w:rFonts w:eastAsiaTheme="minorHAnsi"/>
          <w:b w:val="0"/>
          <w:bCs w:val="0"/>
          <w:lang w:eastAsia="en-US"/>
        </w:rPr>
        <w:t xml:space="preserve"> (1 436 060,4 тыс. рублей)</w:t>
      </w:r>
      <w:r w:rsidR="006035EB" w:rsidRPr="00FE3B07">
        <w:rPr>
          <w:rFonts w:eastAsiaTheme="minorHAnsi"/>
          <w:b w:val="0"/>
          <w:bCs w:val="0"/>
          <w:lang w:eastAsia="en-US"/>
        </w:rPr>
        <w:t xml:space="preserve"> и государственным программам</w:t>
      </w:r>
      <w:r w:rsidR="00FE3B07" w:rsidRPr="00FE3B07">
        <w:rPr>
          <w:rFonts w:eastAsiaTheme="minorHAnsi"/>
          <w:b w:val="0"/>
          <w:bCs w:val="0"/>
          <w:lang w:eastAsia="en-US"/>
        </w:rPr>
        <w:t xml:space="preserve"> (1 436 060,4 тыс. рублей)</w:t>
      </w:r>
      <w:r w:rsidRPr="00FE3B07">
        <w:rPr>
          <w:rFonts w:eastAsiaTheme="minorHAnsi"/>
          <w:b w:val="0"/>
          <w:bCs w:val="0"/>
          <w:lang w:eastAsia="en-US"/>
        </w:rPr>
        <w:t>. П</w:t>
      </w:r>
      <w:r w:rsidR="006035EB" w:rsidRPr="00FE3B07">
        <w:rPr>
          <w:rFonts w:eastAsiaTheme="minorHAnsi"/>
          <w:b w:val="0"/>
          <w:bCs w:val="0"/>
          <w:lang w:eastAsia="en-US"/>
        </w:rPr>
        <w:t>ри фактическом изменении бюджета проекта, в том числе при изменении бюджетных ассигнований на цели, связанные с реализацией проекта, соответствующие изменения в паспорт</w:t>
      </w:r>
      <w:r w:rsidR="00FE3B07" w:rsidRPr="00FE3B07">
        <w:rPr>
          <w:rFonts w:eastAsiaTheme="minorHAnsi"/>
          <w:b w:val="0"/>
          <w:bCs w:val="0"/>
          <w:lang w:eastAsia="en-US"/>
        </w:rPr>
        <w:t>а проек</w:t>
      </w:r>
      <w:r w:rsidR="00300769">
        <w:rPr>
          <w:rFonts w:eastAsiaTheme="minorHAnsi"/>
          <w:b w:val="0"/>
          <w:bCs w:val="0"/>
          <w:lang w:eastAsia="en-US"/>
        </w:rPr>
        <w:t>т</w:t>
      </w:r>
      <w:r w:rsidR="00FE3B07" w:rsidRPr="00FE3B07">
        <w:rPr>
          <w:rFonts w:eastAsiaTheme="minorHAnsi"/>
          <w:b w:val="0"/>
          <w:bCs w:val="0"/>
          <w:lang w:eastAsia="en-US"/>
        </w:rPr>
        <w:t>ов</w:t>
      </w:r>
      <w:r w:rsidR="006035EB" w:rsidRPr="00FE3B07">
        <w:rPr>
          <w:rFonts w:eastAsiaTheme="minorHAnsi"/>
          <w:b w:val="0"/>
          <w:bCs w:val="0"/>
          <w:lang w:eastAsia="en-US"/>
        </w:rPr>
        <w:t xml:space="preserve"> не вносились.</w:t>
      </w:r>
    </w:p>
    <w:p w:rsidR="00C143E1" w:rsidRPr="00FE3B07" w:rsidRDefault="00326126"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 xml:space="preserve">Мероприятия </w:t>
      </w:r>
      <w:r w:rsidR="0008727E">
        <w:rPr>
          <w:rFonts w:eastAsiaTheme="minorHAnsi"/>
          <w:b w:val="0"/>
          <w:bCs w:val="0"/>
          <w:lang w:eastAsia="en-US"/>
        </w:rPr>
        <w:t xml:space="preserve">проектов </w:t>
      </w:r>
      <w:r w:rsidRPr="00FE3B07">
        <w:rPr>
          <w:rFonts w:eastAsiaTheme="minorHAnsi"/>
          <w:b w:val="0"/>
          <w:bCs w:val="0"/>
          <w:lang w:eastAsia="en-US"/>
        </w:rPr>
        <w:t>реализуются в рамках</w:t>
      </w:r>
      <w:r w:rsidR="002D2783" w:rsidRPr="00FE3B07">
        <w:rPr>
          <w:rFonts w:eastAsiaTheme="minorHAnsi"/>
          <w:b w:val="0"/>
          <w:bCs w:val="0"/>
          <w:lang w:eastAsia="en-US"/>
        </w:rPr>
        <w:t xml:space="preserve"> подпрограмм «</w:t>
      </w:r>
      <w:r w:rsidR="00C143E1" w:rsidRPr="00FE3B07">
        <w:rPr>
          <w:rFonts w:eastAsiaTheme="minorHAnsi"/>
          <w:b w:val="0"/>
          <w:bCs w:val="0"/>
          <w:lang w:eastAsia="en-US"/>
        </w:rPr>
        <w:t xml:space="preserve">Развитие общего образования Тульской области», «Развитие инфраструктуры образовательных организаций, расположенных на территории Тульской </w:t>
      </w:r>
      <w:r w:rsidR="00C143E1" w:rsidRPr="00FE3B07">
        <w:rPr>
          <w:rFonts w:eastAsiaTheme="minorHAnsi"/>
          <w:b w:val="0"/>
          <w:bCs w:val="0"/>
          <w:lang w:eastAsia="en-US"/>
        </w:rPr>
        <w:lastRenderedPageBreak/>
        <w:t>области», «Развитие профессионального образования Тульской области»</w:t>
      </w:r>
      <w:r w:rsidRPr="00FE3B07">
        <w:rPr>
          <w:rFonts w:eastAsiaTheme="minorHAnsi"/>
          <w:b w:val="0"/>
          <w:bCs w:val="0"/>
          <w:lang w:eastAsia="en-US"/>
        </w:rPr>
        <w:t xml:space="preserve"> госпрограммы Тульской области «Развитие образования Тульской области», а</w:t>
      </w:r>
    </w:p>
    <w:p w:rsidR="00731DA1" w:rsidRPr="00FE3B07" w:rsidRDefault="00C143E1" w:rsidP="00144525">
      <w:pPr>
        <w:tabs>
          <w:tab w:val="left" w:pos="993"/>
        </w:tabs>
        <w:jc w:val="both"/>
        <w:rPr>
          <w:rFonts w:eastAsiaTheme="minorHAnsi"/>
          <w:b w:val="0"/>
          <w:bCs w:val="0"/>
          <w:lang w:eastAsia="en-US"/>
        </w:rPr>
      </w:pPr>
      <w:r w:rsidRPr="00FE3B07">
        <w:rPr>
          <w:rFonts w:eastAsiaTheme="minorHAnsi"/>
          <w:b w:val="0"/>
          <w:bCs w:val="0"/>
          <w:lang w:eastAsia="en-US"/>
        </w:rPr>
        <w:t>также подпрограммы «Доступная среда»</w:t>
      </w:r>
      <w:r w:rsidR="00326126" w:rsidRPr="00FE3B07">
        <w:rPr>
          <w:rFonts w:eastAsiaTheme="minorHAnsi"/>
          <w:b w:val="0"/>
          <w:bCs w:val="0"/>
          <w:lang w:eastAsia="en-US"/>
        </w:rPr>
        <w:t xml:space="preserve"> госпрограмм</w:t>
      </w:r>
      <w:r w:rsidRPr="00FE3B07">
        <w:rPr>
          <w:rFonts w:eastAsiaTheme="minorHAnsi"/>
          <w:b w:val="0"/>
          <w:bCs w:val="0"/>
          <w:lang w:eastAsia="en-US"/>
        </w:rPr>
        <w:t>ы</w:t>
      </w:r>
      <w:r w:rsidR="00326126" w:rsidRPr="00FE3B07">
        <w:rPr>
          <w:rFonts w:eastAsiaTheme="minorHAnsi"/>
          <w:b w:val="0"/>
          <w:bCs w:val="0"/>
          <w:lang w:eastAsia="en-US"/>
        </w:rPr>
        <w:t xml:space="preserve"> Тульской области «Социальная поддержка и социальное обслуживание населения Тульской области»</w:t>
      </w:r>
      <w:r w:rsidRPr="00FE3B07">
        <w:rPr>
          <w:rFonts w:eastAsiaTheme="minorHAnsi"/>
          <w:b w:val="0"/>
          <w:bCs w:val="0"/>
          <w:lang w:eastAsia="en-US"/>
        </w:rPr>
        <w:t>. Тем не менее, вышеперечисленные проекты не отражены в составе соответствующих подпрограмм в виде их структурных элементов.</w:t>
      </w:r>
    </w:p>
    <w:p w:rsidR="000A4EAE" w:rsidRPr="00FE3B07" w:rsidRDefault="000A4EAE"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Значения показателей паспортов проектов («критерии успеха проекта») со сроком исполнения в 2017 году выполнены в полном объеме.</w:t>
      </w:r>
    </w:p>
    <w:p w:rsidR="000A4EAE" w:rsidRPr="00FE3B07" w:rsidRDefault="000A4EAE"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 xml:space="preserve">Министерством образования области не разработаны </w:t>
      </w:r>
      <w:r w:rsidR="006C3730" w:rsidRPr="00FE3B07">
        <w:rPr>
          <w:rFonts w:eastAsiaTheme="minorHAnsi"/>
          <w:b w:val="0"/>
          <w:bCs w:val="0"/>
          <w:lang w:eastAsia="en-US"/>
        </w:rPr>
        <w:t xml:space="preserve">Паспорта </w:t>
      </w:r>
      <w:r w:rsidRPr="00FE3B07">
        <w:rPr>
          <w:rFonts w:eastAsiaTheme="minorHAnsi"/>
          <w:b w:val="0"/>
          <w:bCs w:val="0"/>
          <w:lang w:eastAsia="en-US"/>
        </w:rPr>
        <w:t xml:space="preserve">по </w:t>
      </w:r>
      <w:r w:rsidR="006C3730" w:rsidRPr="00FE3B07">
        <w:rPr>
          <w:rFonts w:eastAsiaTheme="minorHAnsi"/>
          <w:b w:val="0"/>
          <w:bCs w:val="0"/>
          <w:lang w:eastAsia="en-US"/>
        </w:rPr>
        <w:t xml:space="preserve">следующим </w:t>
      </w:r>
      <w:r w:rsidRPr="00FE3B07">
        <w:rPr>
          <w:rFonts w:eastAsiaTheme="minorHAnsi"/>
          <w:b w:val="0"/>
          <w:bCs w:val="0"/>
          <w:lang w:eastAsia="en-US"/>
        </w:rPr>
        <w:t>показателям</w:t>
      </w:r>
      <w:r w:rsidR="006C3730" w:rsidRPr="00FE3B07">
        <w:rPr>
          <w:rFonts w:eastAsiaTheme="minorHAnsi"/>
          <w:b w:val="0"/>
          <w:bCs w:val="0"/>
          <w:lang w:eastAsia="en-US"/>
        </w:rPr>
        <w:t xml:space="preserve"> в следующих приоритетных проектах</w:t>
      </w:r>
      <w:r w:rsidRPr="00FE3B07">
        <w:rPr>
          <w:rFonts w:eastAsiaTheme="minorHAnsi"/>
          <w:b w:val="0"/>
          <w:bCs w:val="0"/>
          <w:lang w:eastAsia="en-US"/>
        </w:rPr>
        <w:t>:</w:t>
      </w:r>
    </w:p>
    <w:p w:rsidR="006C3730" w:rsidRPr="00FE3B07" w:rsidRDefault="00144525" w:rsidP="00300769">
      <w:pPr>
        <w:tabs>
          <w:tab w:val="left" w:pos="993"/>
        </w:tabs>
        <w:ind w:firstLine="709"/>
        <w:jc w:val="both"/>
        <w:rPr>
          <w:rFonts w:eastAsiaTheme="minorHAnsi"/>
          <w:b w:val="0"/>
          <w:bCs w:val="0"/>
          <w:lang w:eastAsia="en-US"/>
        </w:rPr>
      </w:pPr>
      <w:r>
        <w:rPr>
          <w:rFonts w:eastAsiaTheme="minorHAnsi"/>
          <w:b w:val="0"/>
          <w:bCs w:val="0"/>
          <w:lang w:eastAsia="en-US"/>
        </w:rPr>
        <w:t>- </w:t>
      </w:r>
      <w:r w:rsidR="006C3730" w:rsidRPr="00FE3B07">
        <w:rPr>
          <w:rFonts w:eastAsiaTheme="minorHAnsi"/>
          <w:b w:val="0"/>
          <w:bCs w:val="0"/>
          <w:lang w:eastAsia="en-US"/>
        </w:rPr>
        <w:t>«Доля общеобразовательных организаций, в которых произведены ремонтные работы» - проект «Создание современной образовательной среды для школьников»;</w:t>
      </w:r>
    </w:p>
    <w:p w:rsidR="006C3730" w:rsidRPr="00FE3B07" w:rsidRDefault="00144525" w:rsidP="00300769">
      <w:pPr>
        <w:tabs>
          <w:tab w:val="left" w:pos="993"/>
        </w:tabs>
        <w:ind w:firstLine="709"/>
        <w:jc w:val="both"/>
        <w:rPr>
          <w:rFonts w:eastAsiaTheme="minorHAnsi"/>
          <w:b w:val="0"/>
          <w:bCs w:val="0"/>
          <w:lang w:eastAsia="en-US"/>
        </w:rPr>
      </w:pPr>
      <w:r>
        <w:rPr>
          <w:rFonts w:eastAsiaTheme="minorHAnsi"/>
          <w:b w:val="0"/>
          <w:bCs w:val="0"/>
          <w:lang w:eastAsia="en-US"/>
        </w:rPr>
        <w:t>- </w:t>
      </w:r>
      <w:r w:rsidR="006C3730" w:rsidRPr="00FE3B07">
        <w:rPr>
          <w:rFonts w:eastAsiaTheme="minorHAnsi"/>
          <w:b w:val="0"/>
          <w:bCs w:val="0"/>
          <w:lang w:eastAsia="en-US"/>
        </w:rPr>
        <w:t>«Доля муниципальных образований Тульской области, внедривших к 2020 году персонифицированное финансирование системы дополнительного образования» - проект «Развитие системы дополнительного образования Тульской области»</w:t>
      </w:r>
      <w:r w:rsidR="006A0724" w:rsidRPr="00FE3B07">
        <w:rPr>
          <w:rFonts w:eastAsiaTheme="minorHAnsi"/>
          <w:b w:val="0"/>
          <w:bCs w:val="0"/>
          <w:lang w:eastAsia="en-US"/>
        </w:rPr>
        <w:t>;</w:t>
      </w:r>
    </w:p>
    <w:p w:rsidR="006C3730" w:rsidRPr="00FE3B07" w:rsidRDefault="00144525" w:rsidP="00300769">
      <w:pPr>
        <w:tabs>
          <w:tab w:val="left" w:pos="993"/>
        </w:tabs>
        <w:ind w:firstLine="709"/>
        <w:jc w:val="both"/>
        <w:rPr>
          <w:rFonts w:eastAsiaTheme="minorHAnsi"/>
          <w:b w:val="0"/>
          <w:bCs w:val="0"/>
          <w:lang w:eastAsia="en-US"/>
        </w:rPr>
      </w:pPr>
      <w:r>
        <w:rPr>
          <w:rFonts w:eastAsiaTheme="minorHAnsi"/>
          <w:b w:val="0"/>
          <w:bCs w:val="0"/>
          <w:lang w:eastAsia="en-US"/>
        </w:rPr>
        <w:t>- </w:t>
      </w:r>
      <w:r w:rsidR="006C3730" w:rsidRPr="00FE3B07">
        <w:rPr>
          <w:rFonts w:eastAsiaTheme="minorHAnsi"/>
          <w:b w:val="0"/>
          <w:bCs w:val="0"/>
          <w:lang w:eastAsia="en-US"/>
        </w:rPr>
        <w:t>«Доля муниципальных и государственных образовательных организаций дополнительного образования детей, материально – техническая база которых обновлена, в общем количестве таких организаций» -</w:t>
      </w:r>
      <w:r w:rsidR="006C3730" w:rsidRPr="00FE3B07">
        <w:t xml:space="preserve"> </w:t>
      </w:r>
      <w:r w:rsidR="006C3730" w:rsidRPr="00FE3B07">
        <w:rPr>
          <w:rFonts w:eastAsiaTheme="minorHAnsi"/>
          <w:b w:val="0"/>
          <w:bCs w:val="0"/>
          <w:lang w:eastAsia="en-US"/>
        </w:rPr>
        <w:t>проект «Развитие системы дополнительного образования Тульской области»</w:t>
      </w:r>
      <w:r w:rsidR="006A0724" w:rsidRPr="00FE3B07">
        <w:rPr>
          <w:rFonts w:eastAsiaTheme="minorHAnsi"/>
          <w:b w:val="0"/>
          <w:bCs w:val="0"/>
          <w:lang w:eastAsia="en-US"/>
        </w:rPr>
        <w:t>.</w:t>
      </w:r>
    </w:p>
    <w:p w:rsidR="00745825" w:rsidRPr="00FE3B07" w:rsidRDefault="006A0724"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 xml:space="preserve">В проекте «Развитие системы дополнительного образования Тульской области» </w:t>
      </w:r>
      <w:r w:rsidR="00745825" w:rsidRPr="00FE3B07">
        <w:rPr>
          <w:rFonts w:eastAsiaTheme="minorHAnsi"/>
          <w:b w:val="0"/>
          <w:bCs w:val="0"/>
          <w:lang w:eastAsia="en-US"/>
        </w:rPr>
        <w:t>из четырех показателей паспорта проекта:</w:t>
      </w:r>
    </w:p>
    <w:p w:rsidR="00745825" w:rsidRPr="00FE3B07" w:rsidRDefault="00144525" w:rsidP="00300769">
      <w:pPr>
        <w:pStyle w:val="a7"/>
        <w:tabs>
          <w:tab w:val="left" w:pos="993"/>
        </w:tabs>
        <w:ind w:left="0" w:firstLine="709"/>
        <w:jc w:val="both"/>
        <w:rPr>
          <w:rFonts w:eastAsiaTheme="minorHAnsi"/>
          <w:b w:val="0"/>
          <w:bCs w:val="0"/>
          <w:lang w:eastAsia="en-US"/>
        </w:rPr>
      </w:pPr>
      <w:r>
        <w:rPr>
          <w:rFonts w:eastAsiaTheme="minorHAnsi"/>
          <w:b w:val="0"/>
          <w:bCs w:val="0"/>
          <w:lang w:eastAsia="en-US"/>
        </w:rPr>
        <w:t>- </w:t>
      </w:r>
      <w:r w:rsidR="00745825" w:rsidRPr="00FE3B07">
        <w:rPr>
          <w:rFonts w:eastAsiaTheme="minorHAnsi"/>
          <w:b w:val="0"/>
          <w:bCs w:val="0"/>
          <w:lang w:eastAsia="en-US"/>
        </w:rPr>
        <w:t>два показателя «Охват детей в возрасте от 5 до 18 лет, обучающихся по дополнительным образовательным программам, в общей численности детей этого возраста» и «Доля детей в возрасте от 5 до 18 лет обучающихся по дополнительным образовательным программам технической направленности, в общей численности детей этого возраста» отражены по подпрограмме «Развитие дополнительного образования Тульской области» госпрограммы Тульской области «Развитие образования Тульской области», в то время, как фактически реализуются по подпрограмме «Развитие инфраструктуры образовательных организаций, расположенных на территории Тульской области»;</w:t>
      </w:r>
    </w:p>
    <w:p w:rsidR="00745825" w:rsidRPr="00FE3B07" w:rsidRDefault="00144525" w:rsidP="00300769">
      <w:pPr>
        <w:pStyle w:val="a7"/>
        <w:tabs>
          <w:tab w:val="left" w:pos="993"/>
        </w:tabs>
        <w:ind w:left="0" w:firstLine="709"/>
        <w:jc w:val="both"/>
        <w:rPr>
          <w:rFonts w:eastAsiaTheme="minorHAnsi"/>
          <w:b w:val="0"/>
          <w:bCs w:val="0"/>
          <w:lang w:eastAsia="en-US"/>
        </w:rPr>
      </w:pPr>
      <w:r>
        <w:rPr>
          <w:rFonts w:eastAsiaTheme="minorHAnsi"/>
          <w:b w:val="0"/>
          <w:bCs w:val="0"/>
          <w:lang w:eastAsia="en-US"/>
        </w:rPr>
        <w:t>- </w:t>
      </w:r>
      <w:r w:rsidR="00745825" w:rsidRPr="00FE3B07">
        <w:rPr>
          <w:rFonts w:eastAsiaTheme="minorHAnsi"/>
          <w:b w:val="0"/>
          <w:bCs w:val="0"/>
          <w:lang w:eastAsia="en-US"/>
        </w:rPr>
        <w:t>два показателя «Доля муниципальных образований Тульской области, внедривших к 2020 году персонифицированное финансирование системы дополнительного образования» и «Доля муниципальных и государственных образовательных организаций дополнительного образования детей, материально – техническая база которых обновлена, в общем количестве таких организаций» не отражены ни в одной подпрограмме госпрограммы Тульской области «Развитие образования Тульской области»;</w:t>
      </w:r>
    </w:p>
    <w:p w:rsidR="00745825" w:rsidRPr="00FE3B07" w:rsidRDefault="00144525" w:rsidP="00300769">
      <w:pPr>
        <w:pStyle w:val="a7"/>
        <w:ind w:left="0" w:firstLine="709"/>
        <w:jc w:val="both"/>
        <w:rPr>
          <w:rFonts w:eastAsiaTheme="minorHAnsi"/>
          <w:b w:val="0"/>
          <w:bCs w:val="0"/>
          <w:lang w:eastAsia="en-US"/>
        </w:rPr>
      </w:pPr>
      <w:r>
        <w:rPr>
          <w:rFonts w:eastAsiaTheme="minorHAnsi"/>
          <w:b w:val="0"/>
          <w:bCs w:val="0"/>
          <w:lang w:eastAsia="en-US"/>
        </w:rPr>
        <w:t>- </w:t>
      </w:r>
      <w:bookmarkStart w:id="0" w:name="_GoBack"/>
      <w:bookmarkEnd w:id="0"/>
      <w:r w:rsidR="00745825" w:rsidRPr="00FE3B07">
        <w:rPr>
          <w:rFonts w:eastAsiaTheme="minorHAnsi"/>
          <w:b w:val="0"/>
          <w:bCs w:val="0"/>
          <w:lang w:eastAsia="en-US"/>
        </w:rPr>
        <w:t>по подпрограмме «Доступная среда» госпрограммы Тульской области «Социальная поддержка и социальное обслуживание населения Тульской области» показатели не отражены вовсе.</w:t>
      </w:r>
    </w:p>
    <w:p w:rsidR="00CA114D" w:rsidRDefault="00FE3B07" w:rsidP="00300769">
      <w:pPr>
        <w:ind w:firstLine="709"/>
        <w:jc w:val="both"/>
        <w:rPr>
          <w:b w:val="0"/>
        </w:rPr>
      </w:pPr>
      <w:r>
        <w:rPr>
          <w:b w:val="0"/>
        </w:rPr>
        <w:lastRenderedPageBreak/>
        <w:t>М</w:t>
      </w:r>
      <w:r w:rsidRPr="00FE3B07">
        <w:rPr>
          <w:b w:val="0"/>
        </w:rPr>
        <w:t>ероприятие «интеграция портала «Виртуальная школа» с АИС «Сетевой город. Образование» ни паспортом проекта, ни «дорожной картой» проекта не предусмотрено</w:t>
      </w:r>
      <w:r w:rsidR="00CA114D" w:rsidRPr="00FE3B07">
        <w:rPr>
          <w:b w:val="0"/>
        </w:rPr>
        <w:t>, в то время как именно этот показатель влияет на реализацию мероприятий «дорожной карты».</w:t>
      </w:r>
    </w:p>
    <w:p w:rsidR="00214F0C" w:rsidRPr="00FE3B07" w:rsidRDefault="00300769" w:rsidP="00300769">
      <w:pPr>
        <w:tabs>
          <w:tab w:val="left" w:pos="993"/>
        </w:tabs>
        <w:ind w:firstLine="709"/>
        <w:jc w:val="both"/>
        <w:rPr>
          <w:rFonts w:eastAsiaTheme="minorHAnsi"/>
          <w:b w:val="0"/>
          <w:bCs w:val="0"/>
          <w:lang w:eastAsia="en-US"/>
        </w:rPr>
      </w:pPr>
      <w:r>
        <w:rPr>
          <w:rFonts w:eastAsiaTheme="minorHAnsi"/>
          <w:b w:val="0"/>
          <w:bCs w:val="0"/>
          <w:lang w:eastAsia="en-US"/>
        </w:rPr>
        <w:t>В Соглашениях о предоставлении</w:t>
      </w:r>
      <w:r w:rsidR="00214F0C" w:rsidRPr="00FE3B07">
        <w:rPr>
          <w:rFonts w:eastAsiaTheme="minorHAnsi"/>
          <w:b w:val="0"/>
          <w:bCs w:val="0"/>
          <w:lang w:eastAsia="en-US"/>
        </w:rPr>
        <w:t xml:space="preserve"> субсидий</w:t>
      </w:r>
      <w:r>
        <w:rPr>
          <w:rFonts w:eastAsiaTheme="minorHAnsi"/>
          <w:b w:val="0"/>
          <w:bCs w:val="0"/>
          <w:lang w:eastAsia="en-US"/>
        </w:rPr>
        <w:t xml:space="preserve"> на иные цели образовательным учреждениям</w:t>
      </w:r>
      <w:r w:rsidR="00214F0C" w:rsidRPr="00FE3B07">
        <w:rPr>
          <w:rFonts w:eastAsiaTheme="minorHAnsi"/>
          <w:b w:val="0"/>
          <w:bCs w:val="0"/>
          <w:lang w:eastAsia="en-US"/>
        </w:rPr>
        <w:t xml:space="preserve">, отсутствует требование о достижении показателей результативности предоставления субсидий, следовательно, отчет о достижении показателей результативности </w:t>
      </w:r>
      <w:r w:rsidR="00255C77" w:rsidRPr="00FE3B07">
        <w:rPr>
          <w:rFonts w:eastAsiaTheme="minorHAnsi"/>
          <w:b w:val="0"/>
          <w:bCs w:val="0"/>
          <w:lang w:eastAsia="en-US"/>
        </w:rPr>
        <w:t>использования</w:t>
      </w:r>
      <w:r w:rsidR="00214F0C" w:rsidRPr="00FE3B07">
        <w:rPr>
          <w:rFonts w:eastAsiaTheme="minorHAnsi"/>
          <w:b w:val="0"/>
          <w:bCs w:val="0"/>
          <w:lang w:eastAsia="en-US"/>
        </w:rPr>
        <w:t xml:space="preserve"> субсидий государственными учреждени</w:t>
      </w:r>
      <w:r w:rsidR="00FE3B07">
        <w:rPr>
          <w:rFonts w:eastAsiaTheme="minorHAnsi"/>
          <w:b w:val="0"/>
          <w:bCs w:val="0"/>
          <w:lang w:eastAsia="en-US"/>
        </w:rPr>
        <w:t>ями образования не предусмотрен в связи с чем невозможно установить связь данных расходов с показателями проекта.</w:t>
      </w:r>
    </w:p>
    <w:p w:rsidR="00214F0C" w:rsidRPr="00FE3B07" w:rsidRDefault="00214F0C"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Межбюджетные трансферты бюджетам муниципальных образований Тульской области выделялись Министерством образования области на основании заключенных с администрациями муниципальных образований Соглашений о предоставлении субсидий (субвенций) на укрепление материально – технической базы муниципальных образовательных организаций в 2017 году.</w:t>
      </w:r>
    </w:p>
    <w:p w:rsidR="00214F0C" w:rsidRPr="00FE3B07" w:rsidRDefault="00255C77"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В Соглашениях о предоставлении субсидий (субвенций), содержится требование о достижении показателей результативности использования субсидии (субвенции). А</w:t>
      </w:r>
      <w:r w:rsidR="00214F0C" w:rsidRPr="00FE3B07">
        <w:rPr>
          <w:rFonts w:eastAsiaTheme="minorHAnsi"/>
          <w:b w:val="0"/>
          <w:bCs w:val="0"/>
          <w:lang w:eastAsia="en-US"/>
        </w:rPr>
        <w:t xml:space="preserve">дминистрациями муниципальных образований в Министерство образования области предоставлялся отчет о достижении показателей результативности </w:t>
      </w:r>
      <w:r w:rsidRPr="00FE3B07">
        <w:rPr>
          <w:rFonts w:eastAsiaTheme="minorHAnsi"/>
          <w:b w:val="0"/>
          <w:bCs w:val="0"/>
          <w:lang w:eastAsia="en-US"/>
        </w:rPr>
        <w:t>использования</w:t>
      </w:r>
      <w:r w:rsidR="00214F0C" w:rsidRPr="00FE3B07">
        <w:rPr>
          <w:rFonts w:eastAsiaTheme="minorHAnsi"/>
          <w:b w:val="0"/>
          <w:bCs w:val="0"/>
          <w:lang w:eastAsia="en-US"/>
        </w:rPr>
        <w:t xml:space="preserve"> субсидий, предоставленных из бюджета Тульской области.</w:t>
      </w:r>
    </w:p>
    <w:p w:rsidR="0069362F" w:rsidRPr="00FE3B07" w:rsidRDefault="0069362F" w:rsidP="00300769">
      <w:pPr>
        <w:tabs>
          <w:tab w:val="left" w:pos="993"/>
        </w:tabs>
        <w:ind w:firstLine="709"/>
        <w:jc w:val="both"/>
        <w:rPr>
          <w:rFonts w:eastAsiaTheme="minorHAnsi"/>
          <w:b w:val="0"/>
          <w:bCs w:val="0"/>
          <w:lang w:eastAsia="en-US"/>
        </w:rPr>
      </w:pPr>
      <w:r w:rsidRPr="00FE3B07">
        <w:rPr>
          <w:rFonts w:eastAsiaTheme="minorHAnsi"/>
          <w:b w:val="0"/>
          <w:bCs w:val="0"/>
          <w:lang w:eastAsia="en-US"/>
        </w:rPr>
        <w:t>Согласно информации Министерства образования области</w:t>
      </w:r>
      <w:r w:rsidR="00300769">
        <w:rPr>
          <w:rFonts w:eastAsiaTheme="minorHAnsi"/>
          <w:b w:val="0"/>
          <w:bCs w:val="0"/>
          <w:lang w:eastAsia="en-US"/>
        </w:rPr>
        <w:t>,</w:t>
      </w:r>
      <w:r w:rsidRPr="00FE3B07">
        <w:rPr>
          <w:rFonts w:eastAsiaTheme="minorHAnsi"/>
          <w:b w:val="0"/>
          <w:bCs w:val="0"/>
          <w:lang w:eastAsia="en-US"/>
        </w:rPr>
        <w:t xml:space="preserve"> все запланированные мероприятия «дорожной карты» на 2017 год по всем пяти приоритетным проектам выполнены в полном объеме.</w:t>
      </w:r>
    </w:p>
    <w:p w:rsidR="00144525" w:rsidRDefault="00300769" w:rsidP="00144525">
      <w:pPr>
        <w:pStyle w:val="a7"/>
        <w:tabs>
          <w:tab w:val="left" w:pos="993"/>
        </w:tabs>
        <w:ind w:left="0" w:firstLine="709"/>
        <w:jc w:val="both"/>
        <w:rPr>
          <w:rFonts w:eastAsiaTheme="minorHAnsi"/>
          <w:b w:val="0"/>
          <w:bCs w:val="0"/>
          <w:lang w:eastAsia="en-US"/>
        </w:rPr>
      </w:pPr>
      <w:r>
        <w:rPr>
          <w:rFonts w:eastAsiaTheme="minorHAnsi"/>
          <w:b w:val="0"/>
          <w:bCs w:val="0"/>
          <w:lang w:eastAsia="en-US"/>
        </w:rPr>
        <w:t>По результатам экспертно-аналитического мероприятия отчет направлен в министерство образования Тульской об</w:t>
      </w:r>
      <w:r w:rsidR="00144525">
        <w:rPr>
          <w:rFonts w:eastAsiaTheme="minorHAnsi"/>
          <w:b w:val="0"/>
          <w:bCs w:val="0"/>
          <w:lang w:eastAsia="en-US"/>
        </w:rPr>
        <w:t>ласти и министерство экономического развития Тульской области.</w:t>
      </w:r>
    </w:p>
    <w:p w:rsidR="00AE1906" w:rsidRPr="00FE3B07" w:rsidRDefault="00A838C6" w:rsidP="00300769">
      <w:pPr>
        <w:pStyle w:val="a7"/>
        <w:tabs>
          <w:tab w:val="left" w:pos="993"/>
        </w:tabs>
        <w:ind w:left="0" w:firstLine="709"/>
        <w:jc w:val="both"/>
        <w:rPr>
          <w:rFonts w:eastAsiaTheme="minorHAnsi"/>
          <w:b w:val="0"/>
          <w:bCs w:val="0"/>
          <w:lang w:eastAsia="en-US"/>
        </w:rPr>
      </w:pPr>
      <w:r>
        <w:rPr>
          <w:rFonts w:eastAsiaTheme="minorHAnsi"/>
          <w:b w:val="0"/>
          <w:bCs w:val="0"/>
          <w:lang w:eastAsia="en-US"/>
        </w:rPr>
        <w:t>.</w:t>
      </w:r>
      <w:r w:rsidR="00AE1906" w:rsidRPr="00FE3B07">
        <w:rPr>
          <w:rFonts w:eastAsiaTheme="minorHAnsi"/>
          <w:b w:val="0"/>
          <w:bCs w:val="0"/>
          <w:lang w:eastAsia="en-US"/>
        </w:rPr>
        <w:t xml:space="preserve"> </w:t>
      </w:r>
    </w:p>
    <w:p w:rsidR="00D6443B" w:rsidRPr="0008727E" w:rsidRDefault="00D6443B" w:rsidP="00450902">
      <w:pPr>
        <w:tabs>
          <w:tab w:val="left" w:pos="993"/>
        </w:tabs>
        <w:ind w:firstLine="709"/>
        <w:jc w:val="both"/>
        <w:rPr>
          <w:rFonts w:eastAsiaTheme="minorHAnsi"/>
          <w:b w:val="0"/>
          <w:bCs w:val="0"/>
          <w:lang w:eastAsia="en-US"/>
        </w:rPr>
      </w:pPr>
    </w:p>
    <w:p w:rsidR="00450902" w:rsidRPr="0008727E" w:rsidRDefault="00450902" w:rsidP="00A41C5C">
      <w:pPr>
        <w:tabs>
          <w:tab w:val="left" w:pos="993"/>
        </w:tabs>
        <w:jc w:val="both"/>
        <w:rPr>
          <w:rFonts w:eastAsiaTheme="minorHAnsi"/>
          <w:b w:val="0"/>
          <w:bCs w:val="0"/>
          <w:lang w:eastAsia="en-US"/>
        </w:rPr>
      </w:pPr>
      <w:r w:rsidRPr="0008727E">
        <w:rPr>
          <w:rFonts w:eastAsiaTheme="minorHAnsi"/>
          <w:b w:val="0"/>
          <w:bCs w:val="0"/>
          <w:lang w:eastAsia="en-US"/>
        </w:rPr>
        <w:t>Аудитор</w:t>
      </w:r>
    </w:p>
    <w:p w:rsidR="00450902" w:rsidRPr="0008727E" w:rsidRDefault="00450902" w:rsidP="00A41C5C">
      <w:pPr>
        <w:tabs>
          <w:tab w:val="left" w:pos="993"/>
        </w:tabs>
        <w:jc w:val="both"/>
        <w:rPr>
          <w:rFonts w:eastAsiaTheme="minorHAnsi"/>
          <w:b w:val="0"/>
          <w:bCs w:val="0"/>
          <w:lang w:eastAsia="en-US"/>
        </w:rPr>
      </w:pPr>
      <w:r w:rsidRPr="0008727E">
        <w:rPr>
          <w:rFonts w:eastAsiaTheme="minorHAnsi"/>
          <w:b w:val="0"/>
          <w:bCs w:val="0"/>
          <w:lang w:eastAsia="en-US"/>
        </w:rPr>
        <w:t>счетно</w:t>
      </w:r>
      <w:r w:rsidR="00A41C5C" w:rsidRPr="0008727E">
        <w:rPr>
          <w:rFonts w:eastAsiaTheme="minorHAnsi"/>
          <w:b w:val="0"/>
          <w:bCs w:val="0"/>
          <w:lang w:eastAsia="en-US"/>
        </w:rPr>
        <w:t>й палаты Тульской области</w:t>
      </w:r>
      <w:r w:rsidR="00A41C5C" w:rsidRPr="0008727E">
        <w:rPr>
          <w:rFonts w:eastAsiaTheme="minorHAnsi"/>
          <w:b w:val="0"/>
          <w:bCs w:val="0"/>
          <w:lang w:eastAsia="en-US"/>
        </w:rPr>
        <w:tab/>
      </w:r>
      <w:r w:rsidR="00A41C5C" w:rsidRPr="0008727E">
        <w:rPr>
          <w:rFonts w:eastAsiaTheme="minorHAnsi"/>
          <w:b w:val="0"/>
          <w:bCs w:val="0"/>
          <w:lang w:eastAsia="en-US"/>
        </w:rPr>
        <w:tab/>
      </w:r>
      <w:r w:rsidR="00A41C5C" w:rsidRPr="0008727E">
        <w:rPr>
          <w:rFonts w:eastAsiaTheme="minorHAnsi"/>
          <w:b w:val="0"/>
          <w:bCs w:val="0"/>
          <w:lang w:eastAsia="en-US"/>
        </w:rPr>
        <w:tab/>
      </w:r>
      <w:r w:rsidR="00A41C5C" w:rsidRPr="0008727E">
        <w:rPr>
          <w:rFonts w:eastAsiaTheme="minorHAnsi"/>
          <w:b w:val="0"/>
          <w:bCs w:val="0"/>
          <w:lang w:eastAsia="en-US"/>
        </w:rPr>
        <w:tab/>
      </w:r>
      <w:r w:rsidRPr="0008727E">
        <w:rPr>
          <w:rFonts w:eastAsiaTheme="minorHAnsi"/>
          <w:b w:val="0"/>
          <w:bCs w:val="0"/>
          <w:lang w:eastAsia="en-US"/>
        </w:rPr>
        <w:t xml:space="preserve">  О.П. Гремякова</w:t>
      </w:r>
    </w:p>
    <w:p w:rsidR="00450902" w:rsidRPr="0008727E" w:rsidRDefault="00450902" w:rsidP="004A279D">
      <w:pPr>
        <w:tabs>
          <w:tab w:val="left" w:pos="993"/>
        </w:tabs>
        <w:ind w:firstLine="709"/>
        <w:jc w:val="both"/>
        <w:rPr>
          <w:rFonts w:eastAsiaTheme="minorHAnsi"/>
          <w:b w:val="0"/>
          <w:bCs w:val="0"/>
          <w:lang w:eastAsia="en-US"/>
        </w:rPr>
      </w:pPr>
    </w:p>
    <w:sectPr w:rsidR="00450902" w:rsidRPr="0008727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4E" w:rsidRDefault="0092534E" w:rsidP="00313BBD">
      <w:r>
        <w:separator/>
      </w:r>
    </w:p>
  </w:endnote>
  <w:endnote w:type="continuationSeparator" w:id="0">
    <w:p w:rsidR="0092534E" w:rsidRDefault="0092534E" w:rsidP="0031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4E" w:rsidRDefault="0092534E" w:rsidP="00313BBD">
      <w:r>
        <w:separator/>
      </w:r>
    </w:p>
  </w:footnote>
  <w:footnote w:type="continuationSeparator" w:id="0">
    <w:p w:rsidR="0092534E" w:rsidRDefault="0092534E" w:rsidP="0031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75438"/>
      <w:docPartObj>
        <w:docPartGallery w:val="Page Numbers (Top of Page)"/>
        <w:docPartUnique/>
      </w:docPartObj>
    </w:sdtPr>
    <w:sdtEndPr/>
    <w:sdtContent>
      <w:p w:rsidR="00D6443B" w:rsidRDefault="00D6443B">
        <w:pPr>
          <w:pStyle w:val="ab"/>
          <w:jc w:val="right"/>
        </w:pPr>
        <w:r>
          <w:fldChar w:fldCharType="begin"/>
        </w:r>
        <w:r>
          <w:instrText>PAGE   \* MERGEFORMAT</w:instrText>
        </w:r>
        <w:r>
          <w:fldChar w:fldCharType="separate"/>
        </w:r>
        <w:r w:rsidR="00D85150">
          <w:rPr>
            <w:noProof/>
          </w:rPr>
          <w:t>4</w:t>
        </w:r>
        <w:r>
          <w:fldChar w:fldCharType="end"/>
        </w:r>
      </w:p>
    </w:sdtContent>
  </w:sdt>
  <w:p w:rsidR="00D6443B" w:rsidRDefault="00D6443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E69"/>
    <w:multiLevelType w:val="hybridMultilevel"/>
    <w:tmpl w:val="285A7946"/>
    <w:lvl w:ilvl="0" w:tplc="7A98A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E05D41"/>
    <w:multiLevelType w:val="multilevel"/>
    <w:tmpl w:val="2CFC39A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5B5038"/>
    <w:multiLevelType w:val="hybridMultilevel"/>
    <w:tmpl w:val="B86C95CA"/>
    <w:lvl w:ilvl="0" w:tplc="9AA63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BC73D1"/>
    <w:multiLevelType w:val="hybridMultilevel"/>
    <w:tmpl w:val="5CC2E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6E0515"/>
    <w:multiLevelType w:val="hybridMultilevel"/>
    <w:tmpl w:val="95A44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451961"/>
    <w:multiLevelType w:val="hybridMultilevel"/>
    <w:tmpl w:val="A11AF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5562FB"/>
    <w:multiLevelType w:val="hybridMultilevel"/>
    <w:tmpl w:val="20AE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8818E5"/>
    <w:multiLevelType w:val="hybridMultilevel"/>
    <w:tmpl w:val="A1E2C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803106"/>
    <w:multiLevelType w:val="hybridMultilevel"/>
    <w:tmpl w:val="007CE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1322AD"/>
    <w:multiLevelType w:val="hybridMultilevel"/>
    <w:tmpl w:val="FC24A9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FC5FC6"/>
    <w:multiLevelType w:val="hybridMultilevel"/>
    <w:tmpl w:val="8164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FA71A9"/>
    <w:multiLevelType w:val="hybridMultilevel"/>
    <w:tmpl w:val="5A3C4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FE65DF"/>
    <w:multiLevelType w:val="hybridMultilevel"/>
    <w:tmpl w:val="4BB491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E025868"/>
    <w:multiLevelType w:val="hybridMultilevel"/>
    <w:tmpl w:val="1136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1B0748"/>
    <w:multiLevelType w:val="hybridMultilevel"/>
    <w:tmpl w:val="657824D8"/>
    <w:lvl w:ilvl="0" w:tplc="15C0B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924179"/>
    <w:multiLevelType w:val="hybridMultilevel"/>
    <w:tmpl w:val="00FA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A05DA3"/>
    <w:multiLevelType w:val="hybridMultilevel"/>
    <w:tmpl w:val="0938E29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CE070E"/>
    <w:multiLevelType w:val="hybridMultilevel"/>
    <w:tmpl w:val="9FB8B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E57E9C"/>
    <w:multiLevelType w:val="hybridMultilevel"/>
    <w:tmpl w:val="FD18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EE1E42"/>
    <w:multiLevelType w:val="hybridMultilevel"/>
    <w:tmpl w:val="FA483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46482E"/>
    <w:multiLevelType w:val="hybridMultilevel"/>
    <w:tmpl w:val="C5003914"/>
    <w:lvl w:ilvl="0" w:tplc="5B426038">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D1C552D"/>
    <w:multiLevelType w:val="hybridMultilevel"/>
    <w:tmpl w:val="19AAE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0651BC"/>
    <w:multiLevelType w:val="hybridMultilevel"/>
    <w:tmpl w:val="A7C6E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8F5135"/>
    <w:multiLevelType w:val="hybridMultilevel"/>
    <w:tmpl w:val="13CA8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FF7C3C"/>
    <w:multiLevelType w:val="hybridMultilevel"/>
    <w:tmpl w:val="77AC7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F44DD5"/>
    <w:multiLevelType w:val="hybridMultilevel"/>
    <w:tmpl w:val="343EA9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B25786"/>
    <w:multiLevelType w:val="hybridMultilevel"/>
    <w:tmpl w:val="0EC4C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64094C"/>
    <w:multiLevelType w:val="hybridMultilevel"/>
    <w:tmpl w:val="A70E4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5E7FBF"/>
    <w:multiLevelType w:val="hybridMultilevel"/>
    <w:tmpl w:val="2BAE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A0762B"/>
    <w:multiLevelType w:val="hybridMultilevel"/>
    <w:tmpl w:val="33D8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A35F71"/>
    <w:multiLevelType w:val="hybridMultilevel"/>
    <w:tmpl w:val="25824E8E"/>
    <w:lvl w:ilvl="0" w:tplc="6840E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66A1AD7"/>
    <w:multiLevelType w:val="hybridMultilevel"/>
    <w:tmpl w:val="CB46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436A81"/>
    <w:multiLevelType w:val="hybridMultilevel"/>
    <w:tmpl w:val="60425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AB79C3"/>
    <w:multiLevelType w:val="hybridMultilevel"/>
    <w:tmpl w:val="79CAD846"/>
    <w:lvl w:ilvl="0" w:tplc="5DF88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ED457A"/>
    <w:multiLevelType w:val="hybridMultilevel"/>
    <w:tmpl w:val="108E920C"/>
    <w:lvl w:ilvl="0" w:tplc="0E10B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684745"/>
    <w:multiLevelType w:val="hybridMultilevel"/>
    <w:tmpl w:val="B83C7D1E"/>
    <w:lvl w:ilvl="0" w:tplc="D9DA2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BFF2FEC"/>
    <w:multiLevelType w:val="hybridMultilevel"/>
    <w:tmpl w:val="F2EA8982"/>
    <w:lvl w:ilvl="0" w:tplc="6EDC4992">
      <w:start w:val="4"/>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4"/>
  </w:num>
  <w:num w:numId="3">
    <w:abstractNumId w:val="4"/>
  </w:num>
  <w:num w:numId="4">
    <w:abstractNumId w:val="18"/>
  </w:num>
  <w:num w:numId="5">
    <w:abstractNumId w:val="5"/>
  </w:num>
  <w:num w:numId="6">
    <w:abstractNumId w:val="26"/>
  </w:num>
  <w:num w:numId="7">
    <w:abstractNumId w:val="13"/>
  </w:num>
  <w:num w:numId="8">
    <w:abstractNumId w:val="3"/>
  </w:num>
  <w:num w:numId="9">
    <w:abstractNumId w:val="10"/>
  </w:num>
  <w:num w:numId="10">
    <w:abstractNumId w:val="29"/>
  </w:num>
  <w:num w:numId="11">
    <w:abstractNumId w:val="31"/>
  </w:num>
  <w:num w:numId="12">
    <w:abstractNumId w:val="25"/>
  </w:num>
  <w:num w:numId="13">
    <w:abstractNumId w:val="23"/>
  </w:num>
  <w:num w:numId="14">
    <w:abstractNumId w:val="16"/>
  </w:num>
  <w:num w:numId="15">
    <w:abstractNumId w:val="35"/>
  </w:num>
  <w:num w:numId="16">
    <w:abstractNumId w:val="30"/>
  </w:num>
  <w:num w:numId="17">
    <w:abstractNumId w:val="33"/>
  </w:num>
  <w:num w:numId="18">
    <w:abstractNumId w:val="36"/>
  </w:num>
  <w:num w:numId="19">
    <w:abstractNumId w:val="14"/>
  </w:num>
  <w:num w:numId="20">
    <w:abstractNumId w:val="8"/>
  </w:num>
  <w:num w:numId="21">
    <w:abstractNumId w:val="15"/>
  </w:num>
  <w:num w:numId="22">
    <w:abstractNumId w:val="27"/>
  </w:num>
  <w:num w:numId="23">
    <w:abstractNumId w:val="11"/>
  </w:num>
  <w:num w:numId="24">
    <w:abstractNumId w:val="34"/>
  </w:num>
  <w:num w:numId="25">
    <w:abstractNumId w:val="6"/>
  </w:num>
  <w:num w:numId="26">
    <w:abstractNumId w:val="0"/>
  </w:num>
  <w:num w:numId="27">
    <w:abstractNumId w:val="19"/>
  </w:num>
  <w:num w:numId="28">
    <w:abstractNumId w:val="7"/>
  </w:num>
  <w:num w:numId="29">
    <w:abstractNumId w:val="17"/>
  </w:num>
  <w:num w:numId="30">
    <w:abstractNumId w:val="28"/>
  </w:num>
  <w:num w:numId="31">
    <w:abstractNumId w:val="32"/>
  </w:num>
  <w:num w:numId="32">
    <w:abstractNumId w:val="12"/>
  </w:num>
  <w:num w:numId="33">
    <w:abstractNumId w:val="22"/>
  </w:num>
  <w:num w:numId="34">
    <w:abstractNumId w:val="20"/>
  </w:num>
  <w:num w:numId="35">
    <w:abstractNumId w:val="2"/>
  </w:num>
  <w:num w:numId="36">
    <w:abstractNumId w:val="1"/>
  </w:num>
  <w:num w:numId="37">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65"/>
    <w:rsid w:val="00001292"/>
    <w:rsid w:val="000110AC"/>
    <w:rsid w:val="0001567C"/>
    <w:rsid w:val="0001575C"/>
    <w:rsid w:val="00022587"/>
    <w:rsid w:val="00023827"/>
    <w:rsid w:val="00037698"/>
    <w:rsid w:val="000430E1"/>
    <w:rsid w:val="00044A14"/>
    <w:rsid w:val="00080921"/>
    <w:rsid w:val="0008727E"/>
    <w:rsid w:val="000A2556"/>
    <w:rsid w:val="000A4EAE"/>
    <w:rsid w:val="000D03CC"/>
    <w:rsid w:val="000D3813"/>
    <w:rsid w:val="000E38C7"/>
    <w:rsid w:val="000F672C"/>
    <w:rsid w:val="00102660"/>
    <w:rsid w:val="00102871"/>
    <w:rsid w:val="00103DC8"/>
    <w:rsid w:val="001052DE"/>
    <w:rsid w:val="00111033"/>
    <w:rsid w:val="001136AD"/>
    <w:rsid w:val="00144525"/>
    <w:rsid w:val="00154B96"/>
    <w:rsid w:val="001659CD"/>
    <w:rsid w:val="001721AB"/>
    <w:rsid w:val="001728B8"/>
    <w:rsid w:val="00193A9C"/>
    <w:rsid w:val="001A2CE2"/>
    <w:rsid w:val="001B0186"/>
    <w:rsid w:val="001B029E"/>
    <w:rsid w:val="001B6FBC"/>
    <w:rsid w:val="001C284C"/>
    <w:rsid w:val="001C2F99"/>
    <w:rsid w:val="001C582D"/>
    <w:rsid w:val="001D11C8"/>
    <w:rsid w:val="001F4917"/>
    <w:rsid w:val="001F4A25"/>
    <w:rsid w:val="001F7C7F"/>
    <w:rsid w:val="00200585"/>
    <w:rsid w:val="002042D9"/>
    <w:rsid w:val="00204C3E"/>
    <w:rsid w:val="00214F0C"/>
    <w:rsid w:val="002175A9"/>
    <w:rsid w:val="00236BC4"/>
    <w:rsid w:val="002429FA"/>
    <w:rsid w:val="002547E6"/>
    <w:rsid w:val="00255C77"/>
    <w:rsid w:val="002668AF"/>
    <w:rsid w:val="002804D3"/>
    <w:rsid w:val="00285898"/>
    <w:rsid w:val="002946AC"/>
    <w:rsid w:val="002959ED"/>
    <w:rsid w:val="002A65F1"/>
    <w:rsid w:val="002B4D82"/>
    <w:rsid w:val="002B6261"/>
    <w:rsid w:val="002C5E75"/>
    <w:rsid w:val="002D2783"/>
    <w:rsid w:val="002E5F8B"/>
    <w:rsid w:val="002F4250"/>
    <w:rsid w:val="002F7A4C"/>
    <w:rsid w:val="00300769"/>
    <w:rsid w:val="00300CD6"/>
    <w:rsid w:val="00301A19"/>
    <w:rsid w:val="00313BBD"/>
    <w:rsid w:val="0032011E"/>
    <w:rsid w:val="00326126"/>
    <w:rsid w:val="003336EA"/>
    <w:rsid w:val="00342E2A"/>
    <w:rsid w:val="00355A0A"/>
    <w:rsid w:val="00357AE4"/>
    <w:rsid w:val="00374935"/>
    <w:rsid w:val="003766A8"/>
    <w:rsid w:val="00376CCB"/>
    <w:rsid w:val="00387E08"/>
    <w:rsid w:val="003A0C2A"/>
    <w:rsid w:val="003A333E"/>
    <w:rsid w:val="003A4740"/>
    <w:rsid w:val="003A5F0C"/>
    <w:rsid w:val="003A6CD9"/>
    <w:rsid w:val="003B1457"/>
    <w:rsid w:val="003B33F9"/>
    <w:rsid w:val="003D06CA"/>
    <w:rsid w:val="003D598E"/>
    <w:rsid w:val="003F315C"/>
    <w:rsid w:val="004150C3"/>
    <w:rsid w:val="00420195"/>
    <w:rsid w:val="00425A1F"/>
    <w:rsid w:val="0044139E"/>
    <w:rsid w:val="00441F15"/>
    <w:rsid w:val="004465AF"/>
    <w:rsid w:val="00450902"/>
    <w:rsid w:val="00457492"/>
    <w:rsid w:val="00465895"/>
    <w:rsid w:val="00480026"/>
    <w:rsid w:val="004A279D"/>
    <w:rsid w:val="004B357E"/>
    <w:rsid w:val="0051141C"/>
    <w:rsid w:val="00513913"/>
    <w:rsid w:val="00526E83"/>
    <w:rsid w:val="0054681C"/>
    <w:rsid w:val="00554512"/>
    <w:rsid w:val="005576A9"/>
    <w:rsid w:val="005849DD"/>
    <w:rsid w:val="005949D5"/>
    <w:rsid w:val="00596A7A"/>
    <w:rsid w:val="005B6DC3"/>
    <w:rsid w:val="005D5D1F"/>
    <w:rsid w:val="005D7D53"/>
    <w:rsid w:val="005F6E29"/>
    <w:rsid w:val="006035EB"/>
    <w:rsid w:val="00613199"/>
    <w:rsid w:val="00616D1C"/>
    <w:rsid w:val="00616D8D"/>
    <w:rsid w:val="00620899"/>
    <w:rsid w:val="006265E1"/>
    <w:rsid w:val="00631D1F"/>
    <w:rsid w:val="00636D5C"/>
    <w:rsid w:val="006377F9"/>
    <w:rsid w:val="0065589D"/>
    <w:rsid w:val="0065636C"/>
    <w:rsid w:val="006714B2"/>
    <w:rsid w:val="00674D9C"/>
    <w:rsid w:val="00676663"/>
    <w:rsid w:val="00686485"/>
    <w:rsid w:val="006877C8"/>
    <w:rsid w:val="00687980"/>
    <w:rsid w:val="0069362F"/>
    <w:rsid w:val="00697F1C"/>
    <w:rsid w:val="006A0724"/>
    <w:rsid w:val="006B2FB8"/>
    <w:rsid w:val="006B36CD"/>
    <w:rsid w:val="006C3730"/>
    <w:rsid w:val="006C3A61"/>
    <w:rsid w:val="006C5996"/>
    <w:rsid w:val="006D62E5"/>
    <w:rsid w:val="006D7597"/>
    <w:rsid w:val="006F56F4"/>
    <w:rsid w:val="00703FD8"/>
    <w:rsid w:val="00715CEF"/>
    <w:rsid w:val="00731DA1"/>
    <w:rsid w:val="007331BC"/>
    <w:rsid w:val="00742232"/>
    <w:rsid w:val="00745825"/>
    <w:rsid w:val="007525CD"/>
    <w:rsid w:val="00762210"/>
    <w:rsid w:val="00764F3C"/>
    <w:rsid w:val="00782065"/>
    <w:rsid w:val="007822D3"/>
    <w:rsid w:val="007A37D2"/>
    <w:rsid w:val="007A41FA"/>
    <w:rsid w:val="007A5D84"/>
    <w:rsid w:val="007B467A"/>
    <w:rsid w:val="007C035C"/>
    <w:rsid w:val="007D2B7E"/>
    <w:rsid w:val="007D5E5B"/>
    <w:rsid w:val="007E3487"/>
    <w:rsid w:val="007F1564"/>
    <w:rsid w:val="007F4A3A"/>
    <w:rsid w:val="00800968"/>
    <w:rsid w:val="00802096"/>
    <w:rsid w:val="0081074E"/>
    <w:rsid w:val="00830FC4"/>
    <w:rsid w:val="008331BB"/>
    <w:rsid w:val="0084230D"/>
    <w:rsid w:val="00844E5A"/>
    <w:rsid w:val="00846062"/>
    <w:rsid w:val="00853F3F"/>
    <w:rsid w:val="0085715F"/>
    <w:rsid w:val="00865999"/>
    <w:rsid w:val="00880121"/>
    <w:rsid w:val="00884796"/>
    <w:rsid w:val="0088691C"/>
    <w:rsid w:val="00893EE4"/>
    <w:rsid w:val="00897AFD"/>
    <w:rsid w:val="008D5EFB"/>
    <w:rsid w:val="008D6318"/>
    <w:rsid w:val="0091624B"/>
    <w:rsid w:val="0092534E"/>
    <w:rsid w:val="009265E5"/>
    <w:rsid w:val="009311B0"/>
    <w:rsid w:val="00947E36"/>
    <w:rsid w:val="0098419D"/>
    <w:rsid w:val="00990716"/>
    <w:rsid w:val="009945F0"/>
    <w:rsid w:val="009B215A"/>
    <w:rsid w:val="009B356E"/>
    <w:rsid w:val="009C72C6"/>
    <w:rsid w:val="009D0557"/>
    <w:rsid w:val="009D2374"/>
    <w:rsid w:val="009D6ADF"/>
    <w:rsid w:val="009E515E"/>
    <w:rsid w:val="009F3A8A"/>
    <w:rsid w:val="00A01F82"/>
    <w:rsid w:val="00A04C38"/>
    <w:rsid w:val="00A07D57"/>
    <w:rsid w:val="00A31007"/>
    <w:rsid w:val="00A41C5C"/>
    <w:rsid w:val="00A42038"/>
    <w:rsid w:val="00A44FA2"/>
    <w:rsid w:val="00A5332D"/>
    <w:rsid w:val="00A62206"/>
    <w:rsid w:val="00A63F4D"/>
    <w:rsid w:val="00A707D5"/>
    <w:rsid w:val="00A70BD5"/>
    <w:rsid w:val="00A71732"/>
    <w:rsid w:val="00A720BB"/>
    <w:rsid w:val="00A75D7C"/>
    <w:rsid w:val="00A838C6"/>
    <w:rsid w:val="00A853AA"/>
    <w:rsid w:val="00A871BA"/>
    <w:rsid w:val="00A96E37"/>
    <w:rsid w:val="00A97D0A"/>
    <w:rsid w:val="00AA7479"/>
    <w:rsid w:val="00AB3B40"/>
    <w:rsid w:val="00AC7C84"/>
    <w:rsid w:val="00AD00C7"/>
    <w:rsid w:val="00AD201D"/>
    <w:rsid w:val="00AD49DB"/>
    <w:rsid w:val="00AD54D6"/>
    <w:rsid w:val="00AE0A09"/>
    <w:rsid w:val="00AE1906"/>
    <w:rsid w:val="00AE7F24"/>
    <w:rsid w:val="00AF52B6"/>
    <w:rsid w:val="00B0335E"/>
    <w:rsid w:val="00B07768"/>
    <w:rsid w:val="00B13972"/>
    <w:rsid w:val="00B2470F"/>
    <w:rsid w:val="00B51356"/>
    <w:rsid w:val="00B77CA1"/>
    <w:rsid w:val="00B83A68"/>
    <w:rsid w:val="00B858BD"/>
    <w:rsid w:val="00B978EA"/>
    <w:rsid w:val="00BA0E3B"/>
    <w:rsid w:val="00BA17F3"/>
    <w:rsid w:val="00BB7993"/>
    <w:rsid w:val="00BC0982"/>
    <w:rsid w:val="00BC1DDF"/>
    <w:rsid w:val="00BC44D8"/>
    <w:rsid w:val="00BD7EAA"/>
    <w:rsid w:val="00BF5497"/>
    <w:rsid w:val="00C1005D"/>
    <w:rsid w:val="00C126BF"/>
    <w:rsid w:val="00C143E1"/>
    <w:rsid w:val="00C17B73"/>
    <w:rsid w:val="00C23D25"/>
    <w:rsid w:val="00C319FF"/>
    <w:rsid w:val="00C35AE0"/>
    <w:rsid w:val="00C7265B"/>
    <w:rsid w:val="00C766B6"/>
    <w:rsid w:val="00C923A3"/>
    <w:rsid w:val="00CA114D"/>
    <w:rsid w:val="00CA2106"/>
    <w:rsid w:val="00CA5967"/>
    <w:rsid w:val="00CD2ED8"/>
    <w:rsid w:val="00CE6F2D"/>
    <w:rsid w:val="00CF3C00"/>
    <w:rsid w:val="00CF3FA6"/>
    <w:rsid w:val="00D04ED8"/>
    <w:rsid w:val="00D2088C"/>
    <w:rsid w:val="00D45115"/>
    <w:rsid w:val="00D45FED"/>
    <w:rsid w:val="00D50965"/>
    <w:rsid w:val="00D516D7"/>
    <w:rsid w:val="00D52A8A"/>
    <w:rsid w:val="00D52B86"/>
    <w:rsid w:val="00D56B30"/>
    <w:rsid w:val="00D635CA"/>
    <w:rsid w:val="00D6443B"/>
    <w:rsid w:val="00D64EFB"/>
    <w:rsid w:val="00D73184"/>
    <w:rsid w:val="00D85150"/>
    <w:rsid w:val="00D851B7"/>
    <w:rsid w:val="00D913E6"/>
    <w:rsid w:val="00D92E53"/>
    <w:rsid w:val="00D95674"/>
    <w:rsid w:val="00DA14CB"/>
    <w:rsid w:val="00DA2CE0"/>
    <w:rsid w:val="00DB1F39"/>
    <w:rsid w:val="00DB6B47"/>
    <w:rsid w:val="00DC7F48"/>
    <w:rsid w:val="00DD2595"/>
    <w:rsid w:val="00DF0306"/>
    <w:rsid w:val="00DF5214"/>
    <w:rsid w:val="00E068CE"/>
    <w:rsid w:val="00E1457B"/>
    <w:rsid w:val="00E14ECF"/>
    <w:rsid w:val="00E279F6"/>
    <w:rsid w:val="00E30FE6"/>
    <w:rsid w:val="00E36786"/>
    <w:rsid w:val="00E41AA2"/>
    <w:rsid w:val="00E425D1"/>
    <w:rsid w:val="00E43B40"/>
    <w:rsid w:val="00E53943"/>
    <w:rsid w:val="00E55595"/>
    <w:rsid w:val="00E573C3"/>
    <w:rsid w:val="00E639F7"/>
    <w:rsid w:val="00E63CFD"/>
    <w:rsid w:val="00E6698A"/>
    <w:rsid w:val="00E77D0C"/>
    <w:rsid w:val="00E77D45"/>
    <w:rsid w:val="00E935DF"/>
    <w:rsid w:val="00E947C3"/>
    <w:rsid w:val="00EA0A2A"/>
    <w:rsid w:val="00EA2680"/>
    <w:rsid w:val="00EA5A47"/>
    <w:rsid w:val="00EB3715"/>
    <w:rsid w:val="00EC0472"/>
    <w:rsid w:val="00EC589B"/>
    <w:rsid w:val="00ED4ED6"/>
    <w:rsid w:val="00EF559F"/>
    <w:rsid w:val="00F07F52"/>
    <w:rsid w:val="00F113BE"/>
    <w:rsid w:val="00F134FE"/>
    <w:rsid w:val="00F22FE6"/>
    <w:rsid w:val="00F33D33"/>
    <w:rsid w:val="00F42DFB"/>
    <w:rsid w:val="00F548F5"/>
    <w:rsid w:val="00F55F0D"/>
    <w:rsid w:val="00F9103C"/>
    <w:rsid w:val="00FA18BC"/>
    <w:rsid w:val="00FA2488"/>
    <w:rsid w:val="00FC074F"/>
    <w:rsid w:val="00FC25DC"/>
    <w:rsid w:val="00FE3B07"/>
    <w:rsid w:val="00FE3EA5"/>
    <w:rsid w:val="00FE45DD"/>
    <w:rsid w:val="00FE660D"/>
    <w:rsid w:val="00FF56DD"/>
    <w:rsid w:val="00FF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87242-E1C7-468C-8C52-337B6C9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F0C"/>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50965"/>
    <w:pPr>
      <w:suppressAutoHyphens/>
      <w:spacing w:after="0" w:line="240" w:lineRule="auto"/>
    </w:pPr>
    <w:rPr>
      <w:rFonts w:ascii="Times New Roman" w:eastAsia="Times New Roman" w:hAnsi="Times New Roman" w:cs="Times New Roman"/>
      <w:sz w:val="24"/>
      <w:szCs w:val="24"/>
      <w:lang w:eastAsia="ar-SA"/>
    </w:rPr>
  </w:style>
  <w:style w:type="character" w:styleId="a4">
    <w:name w:val="footnote reference"/>
    <w:aliases w:val="Знак сноски-FN,Ciae niinee-FN,Знак сноски 1"/>
    <w:uiPriority w:val="99"/>
    <w:unhideWhenUsed/>
    <w:rsid w:val="00313BBD"/>
    <w:rPr>
      <w:vertAlign w:val="superscript"/>
    </w:rPr>
  </w:style>
  <w:style w:type="paragraph" w:styleId="a5">
    <w:name w:val="footnote text"/>
    <w:basedOn w:val="a"/>
    <w:link w:val="1"/>
    <w:uiPriority w:val="99"/>
    <w:semiHidden/>
    <w:unhideWhenUsed/>
    <w:rsid w:val="00313BBD"/>
    <w:rPr>
      <w:rFonts w:eastAsia="Calibri"/>
      <w:b w:val="0"/>
      <w:bCs w:val="0"/>
      <w:sz w:val="20"/>
      <w:szCs w:val="20"/>
      <w:lang w:eastAsia="en-US"/>
    </w:rPr>
  </w:style>
  <w:style w:type="character" w:customStyle="1" w:styleId="a6">
    <w:name w:val="Текст сноски Знак"/>
    <w:basedOn w:val="a0"/>
    <w:uiPriority w:val="99"/>
    <w:semiHidden/>
    <w:rsid w:val="00313BBD"/>
    <w:rPr>
      <w:rFonts w:ascii="Times New Roman" w:eastAsia="Times New Roman" w:hAnsi="Times New Roman" w:cs="Times New Roman"/>
      <w:b/>
      <w:bCs/>
      <w:sz w:val="20"/>
      <w:szCs w:val="20"/>
      <w:lang w:eastAsia="ru-RU"/>
    </w:rPr>
  </w:style>
  <w:style w:type="character" w:customStyle="1" w:styleId="1">
    <w:name w:val="Текст сноски Знак1"/>
    <w:link w:val="a5"/>
    <w:uiPriority w:val="99"/>
    <w:semiHidden/>
    <w:rsid w:val="00313BBD"/>
    <w:rPr>
      <w:rFonts w:ascii="Times New Roman" w:eastAsia="Calibri" w:hAnsi="Times New Roman" w:cs="Times New Roman"/>
      <w:sz w:val="20"/>
      <w:szCs w:val="20"/>
    </w:rPr>
  </w:style>
  <w:style w:type="paragraph" w:styleId="a7">
    <w:name w:val="List Paragraph"/>
    <w:basedOn w:val="a"/>
    <w:uiPriority w:val="34"/>
    <w:qFormat/>
    <w:rsid w:val="007D2B7E"/>
    <w:pPr>
      <w:ind w:left="720"/>
      <w:contextualSpacing/>
    </w:pPr>
  </w:style>
  <w:style w:type="paragraph" w:styleId="a8">
    <w:name w:val="Balloon Text"/>
    <w:basedOn w:val="a"/>
    <w:link w:val="a9"/>
    <w:uiPriority w:val="99"/>
    <w:semiHidden/>
    <w:unhideWhenUsed/>
    <w:rsid w:val="0032011E"/>
    <w:rPr>
      <w:rFonts w:ascii="Segoe UI" w:hAnsi="Segoe UI" w:cs="Segoe UI"/>
      <w:sz w:val="18"/>
      <w:szCs w:val="18"/>
    </w:rPr>
  </w:style>
  <w:style w:type="character" w:customStyle="1" w:styleId="a9">
    <w:name w:val="Текст выноски Знак"/>
    <w:basedOn w:val="a0"/>
    <w:link w:val="a8"/>
    <w:uiPriority w:val="99"/>
    <w:semiHidden/>
    <w:rsid w:val="0032011E"/>
    <w:rPr>
      <w:rFonts w:ascii="Segoe UI" w:eastAsia="Times New Roman" w:hAnsi="Segoe UI" w:cs="Segoe UI"/>
      <w:b/>
      <w:bCs/>
      <w:sz w:val="18"/>
      <w:szCs w:val="18"/>
      <w:lang w:eastAsia="ru-RU"/>
    </w:rPr>
  </w:style>
  <w:style w:type="table" w:styleId="aa">
    <w:name w:val="Table Grid"/>
    <w:basedOn w:val="a1"/>
    <w:uiPriority w:val="39"/>
    <w:rsid w:val="0055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1074E"/>
    <w:pPr>
      <w:tabs>
        <w:tab w:val="center" w:pos="4677"/>
        <w:tab w:val="right" w:pos="9355"/>
      </w:tabs>
    </w:pPr>
  </w:style>
  <w:style w:type="character" w:customStyle="1" w:styleId="ac">
    <w:name w:val="Верхний колонтитул Знак"/>
    <w:basedOn w:val="a0"/>
    <w:link w:val="ab"/>
    <w:uiPriority w:val="99"/>
    <w:rsid w:val="0081074E"/>
    <w:rPr>
      <w:rFonts w:ascii="Times New Roman" w:eastAsia="Times New Roman" w:hAnsi="Times New Roman" w:cs="Times New Roman"/>
      <w:b/>
      <w:bCs/>
      <w:sz w:val="28"/>
      <w:szCs w:val="28"/>
      <w:lang w:eastAsia="ru-RU"/>
    </w:rPr>
  </w:style>
  <w:style w:type="paragraph" w:styleId="ad">
    <w:name w:val="footer"/>
    <w:basedOn w:val="a"/>
    <w:link w:val="ae"/>
    <w:uiPriority w:val="99"/>
    <w:unhideWhenUsed/>
    <w:rsid w:val="0081074E"/>
    <w:pPr>
      <w:tabs>
        <w:tab w:val="center" w:pos="4677"/>
        <w:tab w:val="right" w:pos="9355"/>
      </w:tabs>
    </w:pPr>
  </w:style>
  <w:style w:type="character" w:customStyle="1" w:styleId="ae">
    <w:name w:val="Нижний колонтитул Знак"/>
    <w:basedOn w:val="a0"/>
    <w:link w:val="ad"/>
    <w:uiPriority w:val="99"/>
    <w:rsid w:val="0081074E"/>
    <w:rPr>
      <w:rFonts w:ascii="Times New Roman" w:eastAsia="Times New Roman" w:hAnsi="Times New Roman" w:cs="Times New Roman"/>
      <w:b/>
      <w:bCs/>
      <w:sz w:val="28"/>
      <w:szCs w:val="28"/>
      <w:lang w:eastAsia="ru-RU"/>
    </w:rPr>
  </w:style>
  <w:style w:type="table" w:customStyle="1" w:styleId="10">
    <w:name w:val="Сетка таблицы1"/>
    <w:basedOn w:val="a1"/>
    <w:next w:val="aa"/>
    <w:uiPriority w:val="39"/>
    <w:rsid w:val="0003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8338">
      <w:bodyDiv w:val="1"/>
      <w:marLeft w:val="0"/>
      <w:marRight w:val="0"/>
      <w:marTop w:val="0"/>
      <w:marBottom w:val="0"/>
      <w:divBdr>
        <w:top w:val="none" w:sz="0" w:space="0" w:color="auto"/>
        <w:left w:val="none" w:sz="0" w:space="0" w:color="auto"/>
        <w:bottom w:val="none" w:sz="0" w:space="0" w:color="auto"/>
        <w:right w:val="none" w:sz="0" w:space="0" w:color="auto"/>
      </w:divBdr>
    </w:div>
    <w:div w:id="1284969528">
      <w:bodyDiv w:val="1"/>
      <w:marLeft w:val="0"/>
      <w:marRight w:val="0"/>
      <w:marTop w:val="0"/>
      <w:marBottom w:val="0"/>
      <w:divBdr>
        <w:top w:val="none" w:sz="0" w:space="0" w:color="auto"/>
        <w:left w:val="none" w:sz="0" w:space="0" w:color="auto"/>
        <w:bottom w:val="none" w:sz="0" w:space="0" w:color="auto"/>
        <w:right w:val="none" w:sz="0" w:space="0" w:color="auto"/>
      </w:divBdr>
    </w:div>
    <w:div w:id="1908489099">
      <w:bodyDiv w:val="1"/>
      <w:marLeft w:val="0"/>
      <w:marRight w:val="0"/>
      <w:marTop w:val="0"/>
      <w:marBottom w:val="0"/>
      <w:divBdr>
        <w:top w:val="none" w:sz="0" w:space="0" w:color="auto"/>
        <w:left w:val="none" w:sz="0" w:space="0" w:color="auto"/>
        <w:bottom w:val="none" w:sz="0" w:space="0" w:color="auto"/>
        <w:right w:val="none" w:sz="0" w:space="0" w:color="auto"/>
      </w:divBdr>
    </w:div>
    <w:div w:id="19101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3228-2620-4CE9-B289-C8E25CF1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 Сергей Александрович</dc:creator>
  <cp:keywords/>
  <dc:description/>
  <cp:lastModifiedBy>Гремякова Ольга Петровна</cp:lastModifiedBy>
  <cp:revision>2</cp:revision>
  <cp:lastPrinted>2018-08-17T10:50:00Z</cp:lastPrinted>
  <dcterms:created xsi:type="dcterms:W3CDTF">2018-08-17T11:00:00Z</dcterms:created>
  <dcterms:modified xsi:type="dcterms:W3CDTF">2018-08-17T11:00:00Z</dcterms:modified>
</cp:coreProperties>
</file>