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E7" w:rsidRPr="007162E7" w:rsidRDefault="00BD7DE7" w:rsidP="00A41A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7162E7"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результатах</w:t>
      </w:r>
      <w:r w:rsidR="007162E7" w:rsidRPr="007162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экспертно-аналитического мероприятия </w:t>
      </w:r>
    </w:p>
    <w:p w:rsidR="007162E7" w:rsidRDefault="007162E7" w:rsidP="007162E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162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7162E7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развития системы государственных и корпоративных закупок в Тульской области</w:t>
      </w:r>
      <w:r w:rsidRPr="007162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</w:p>
    <w:p w:rsidR="00BD7DE7" w:rsidRPr="007162E7" w:rsidRDefault="00BD7DE7" w:rsidP="007162E7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162E7" w:rsidRPr="007162E7" w:rsidRDefault="00BD7DE7" w:rsidP="00BD7DE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Счетной палатой Тульской области </w:t>
      </w:r>
      <w:r w:rsidR="007162E7" w:rsidRPr="007162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пунктом 3.1 Плана работы счетной палаты Тульской области на 2018 год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период с </w:t>
      </w:r>
      <w:r w:rsidRPr="00327B75">
        <w:rPr>
          <w:rFonts w:ascii="Times New Roman" w:eastAsia="Calibri" w:hAnsi="Times New Roman" w:cs="Times New Roman"/>
          <w:sz w:val="28"/>
          <w:szCs w:val="28"/>
        </w:rPr>
        <w:t>22.06.2018 –06.08.2018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проведено экспертно-аналитическое мероприятие </w:t>
      </w:r>
      <w:r w:rsidRPr="007162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7162E7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развития системы государственных и корпоративных закупок в Тульской области</w:t>
      </w:r>
      <w:r w:rsidRPr="007162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7162E7" w:rsidRPr="007162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B3E5E" w:rsidRPr="007162E7" w:rsidRDefault="009B3E5E" w:rsidP="009B3E5E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E7">
        <w:rPr>
          <w:rFonts w:ascii="Times New Roman" w:hAnsi="Times New Roman" w:cs="Times New Roman"/>
          <w:i/>
          <w:sz w:val="28"/>
          <w:szCs w:val="28"/>
        </w:rPr>
        <w:t>Предмет экспертно-аналитического мероприятия</w:t>
      </w:r>
      <w:r w:rsidRPr="007162E7">
        <w:rPr>
          <w:rFonts w:ascii="Times New Roman" w:hAnsi="Times New Roman" w:cs="Times New Roman"/>
          <w:sz w:val="28"/>
          <w:szCs w:val="28"/>
        </w:rPr>
        <w:t>:</w:t>
      </w:r>
    </w:p>
    <w:p w:rsidR="009B3E5E" w:rsidRPr="007162E7" w:rsidRDefault="009B3E5E" w:rsidP="009B3E5E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нормативная правовая и методическая база федерального и регионального уровня, регулирующая вопросы контрактной системы в сфере закупок товаров, работ, услуг для обеспечения государственных нужд;</w:t>
      </w:r>
    </w:p>
    <w:p w:rsidR="009B3E5E" w:rsidRPr="007162E7" w:rsidRDefault="009B3E5E" w:rsidP="009B3E5E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региональная информационная система в сфере закупок;</w:t>
      </w:r>
    </w:p>
    <w:p w:rsidR="009B3E5E" w:rsidRPr="007162E7" w:rsidRDefault="009B3E5E" w:rsidP="009B3E5E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разграничение полномочий в сфере закупок между органами, осуществляющими полномочия в сфере закупок Тульской области, в том числе в части рассмотрения дел об административных правонарушениях и привлечения к административной ответственности;</w:t>
      </w:r>
    </w:p>
    <w:p w:rsidR="009B3E5E" w:rsidRPr="007162E7" w:rsidRDefault="009B3E5E" w:rsidP="009B3E5E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закупок товаров, работ, услуг для государственных нужд в разрезе способов определения поставщиков (конкурс, аукцион, запрос котировки, запрос предложений, единственный поставщик);</w:t>
      </w:r>
    </w:p>
    <w:p w:rsidR="009B3E5E" w:rsidRPr="007162E7" w:rsidRDefault="009B3E5E" w:rsidP="009B3E5E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62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отчетность в сфере закупок;</w:t>
      </w:r>
    </w:p>
    <w:p w:rsidR="009B3E5E" w:rsidRDefault="009B3E5E" w:rsidP="009B3E5E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E7">
        <w:rPr>
          <w:rFonts w:ascii="Times New Roman" w:hAnsi="Times New Roman" w:cs="Times New Roman"/>
          <w:sz w:val="28"/>
          <w:szCs w:val="28"/>
        </w:rPr>
        <w:t>–</w:t>
      </w:r>
      <w:r w:rsidRPr="007162E7">
        <w:rPr>
          <w:rFonts w:ascii="Times New Roman" w:hAnsi="Times New Roman" w:cs="Times New Roman"/>
          <w:sz w:val="28"/>
          <w:szCs w:val="28"/>
        </w:rPr>
        <w:tab/>
        <w:t>иные материалы и документы.</w:t>
      </w:r>
    </w:p>
    <w:p w:rsidR="007162E7" w:rsidRPr="007162E7" w:rsidRDefault="007162E7" w:rsidP="007162E7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2E7">
        <w:rPr>
          <w:rFonts w:ascii="Times New Roman" w:hAnsi="Times New Roman" w:cs="Times New Roman"/>
          <w:i/>
          <w:sz w:val="28"/>
          <w:szCs w:val="28"/>
        </w:rPr>
        <w:t xml:space="preserve">Цели экспертно-аналитического мероприятия: </w:t>
      </w:r>
    </w:p>
    <w:p w:rsidR="007162E7" w:rsidRPr="007162E7" w:rsidRDefault="007162E7" w:rsidP="00880B84">
      <w:pPr>
        <w:pStyle w:val="a6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62E7">
        <w:rPr>
          <w:rFonts w:ascii="Times New Roman" w:hAnsi="Times New Roman"/>
          <w:sz w:val="28"/>
          <w:szCs w:val="28"/>
        </w:rPr>
        <w:t>анализ нормативной правовой базы, регулирующей вопросы контрактной системы в сфере закупок товаров, работ, услуг для обеспечения государственных нужд, в том числе при осуществлении контроля, аудита и мониторинга закупок в Тульской области;</w:t>
      </w:r>
    </w:p>
    <w:p w:rsidR="007162E7" w:rsidRPr="007105F0" w:rsidRDefault="007162E7" w:rsidP="007F2307">
      <w:pPr>
        <w:pStyle w:val="a6"/>
        <w:spacing w:before="6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162E7">
        <w:rPr>
          <w:rFonts w:ascii="Times New Roman" w:hAnsi="Times New Roman"/>
          <w:sz w:val="28"/>
          <w:szCs w:val="28"/>
        </w:rPr>
        <w:t>анализ эффективности деятельности контрактной системы в Тульской области.</w:t>
      </w:r>
    </w:p>
    <w:p w:rsidR="00683B3D" w:rsidRPr="00683B3D" w:rsidRDefault="009B3E5E" w:rsidP="00683B3D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3B3D">
        <w:rPr>
          <w:rFonts w:ascii="Times New Roman" w:hAnsi="Times New Roman" w:cs="Times New Roman"/>
          <w:i/>
          <w:spacing w:val="-4"/>
          <w:sz w:val="28"/>
          <w:szCs w:val="28"/>
        </w:rPr>
        <w:t>Объект</w:t>
      </w:r>
      <w:r w:rsidR="00BD7DE7">
        <w:rPr>
          <w:rFonts w:ascii="Times New Roman" w:hAnsi="Times New Roman" w:cs="Times New Roman"/>
          <w:i/>
          <w:spacing w:val="-4"/>
          <w:sz w:val="28"/>
          <w:szCs w:val="28"/>
        </w:rPr>
        <w:t>ы</w:t>
      </w:r>
      <w:r w:rsidRPr="00683B3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экспертно-аналитического мероприятия: </w:t>
      </w:r>
      <w:r w:rsidRPr="00683B3D">
        <w:rPr>
          <w:rFonts w:ascii="Times New Roman" w:hAnsi="Times New Roman" w:cs="Times New Roman"/>
          <w:spacing w:val="-4"/>
          <w:sz w:val="28"/>
          <w:szCs w:val="28"/>
        </w:rPr>
        <w:t>министерство финансов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контрольный комитет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управление делами аппарата правительства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 природных ресурсов и экологии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 культуры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 образования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 транспорта и дорожного хозяйства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 молодежной политики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1FED">
        <w:rPr>
          <w:rFonts w:ascii="Times New Roman" w:hAnsi="Times New Roman" w:cs="Times New Roman"/>
          <w:spacing w:val="-4"/>
          <w:sz w:val="28"/>
          <w:szCs w:val="28"/>
        </w:rPr>
        <w:t xml:space="preserve">комитет Тульской области по предпринимательству и потребительскому рынку; 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>министерство имущественных и земельных отношений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 труда и социальной защиты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комитет Тульской области по спорту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 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lastRenderedPageBreak/>
        <w:t>строительства и жилищно-коммунального хозяйства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комитет Тульской области по тарифам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комитет ветеринарии Тульской области</w:t>
      </w:r>
      <w:r w:rsidR="00683B3D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83B3D" w:rsidRPr="00683B3D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 по информатизации, связи и вопросам открытого управления Тульской области.</w:t>
      </w:r>
    </w:p>
    <w:p w:rsidR="007F2307" w:rsidRDefault="009B3E5E" w:rsidP="00804F2F">
      <w:pPr>
        <w:tabs>
          <w:tab w:val="left" w:pos="993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5E">
        <w:rPr>
          <w:rFonts w:ascii="Times New Roman" w:hAnsi="Times New Roman" w:cs="Times New Roman"/>
          <w:i/>
          <w:sz w:val="28"/>
          <w:szCs w:val="28"/>
        </w:rPr>
        <w:t xml:space="preserve">Проверяемый </w:t>
      </w:r>
      <w:r w:rsidR="007F2307">
        <w:rPr>
          <w:rFonts w:ascii="Times New Roman" w:hAnsi="Times New Roman" w:cs="Times New Roman"/>
          <w:i/>
          <w:sz w:val="28"/>
          <w:szCs w:val="28"/>
        </w:rPr>
        <w:t xml:space="preserve">период: </w:t>
      </w:r>
      <w:r w:rsidR="007F2307" w:rsidRPr="007F2307">
        <w:rPr>
          <w:rFonts w:ascii="Times New Roman" w:hAnsi="Times New Roman" w:cs="Times New Roman"/>
          <w:sz w:val="28"/>
          <w:szCs w:val="28"/>
        </w:rPr>
        <w:t>2014 – 2017 годы, 1 квартал 2018 года.</w:t>
      </w:r>
    </w:p>
    <w:p w:rsidR="007A4BD4" w:rsidRPr="00C8658C" w:rsidRDefault="007A4BD4" w:rsidP="007A4BD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8658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Экспертно-аналитическое мероприятие «Мониторинг развития системы государственных и корпоративных закупок в Тульской области» проведено Счетной палатой по сведениям и документам, предоставленным Министерством финансов, Министерством информатизации, Контрольным комитетом, ГРБС,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 также </w:t>
      </w:r>
      <w:r w:rsidRPr="00C8658C">
        <w:rPr>
          <w:rFonts w:ascii="Times New Roman" w:eastAsia="Calibri" w:hAnsi="Times New Roman" w:cs="Times New Roman"/>
          <w:kern w:val="28"/>
          <w:sz w:val="28"/>
          <w:szCs w:val="28"/>
        </w:rPr>
        <w:t>с использованием информации, размещенной на сайте «Контрактная системы Тульской области в сфере закупок товаров, работ и услуг», сайтах РИС ТО и ЕИС.</w:t>
      </w:r>
    </w:p>
    <w:p w:rsidR="007A4BD4" w:rsidRPr="008D4FB8" w:rsidRDefault="007A4BD4" w:rsidP="007A4BD4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B8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проведен анализ </w:t>
      </w:r>
      <w:r w:rsidRPr="008D4FB8">
        <w:rPr>
          <w:rFonts w:ascii="Times New Roman" w:hAnsi="Times New Roman"/>
          <w:sz w:val="28"/>
          <w:szCs w:val="28"/>
        </w:rPr>
        <w:t xml:space="preserve">нормативной правовой базы, регулирующей вопросы контрактной системы в сфере закупок товаров, работ, услуг для обеспечения государственных нужд, в том числе при осуществлении контроля, аудита и мониторинга закупок в Тульской области за период с 2014 года по истекший период 2018 года, а также </w:t>
      </w:r>
      <w:r w:rsidRPr="008D4FB8"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Pr="008D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закупок товаров, работ, услуг для государственных и муниципальных нужд за 2014 год – 1 квартал 2018 года.</w:t>
      </w:r>
    </w:p>
    <w:p w:rsidR="00133BB9" w:rsidRDefault="00133BB9" w:rsidP="00133BB9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E7">
        <w:rPr>
          <w:rFonts w:ascii="Times New Roman" w:hAnsi="Times New Roman" w:cs="Times New Roman"/>
          <w:sz w:val="28"/>
          <w:szCs w:val="28"/>
        </w:rPr>
        <w:t xml:space="preserve">В результате проведения экспертно-аналитического мероприятия установлено </w:t>
      </w:r>
      <w:r>
        <w:rPr>
          <w:rFonts w:ascii="Times New Roman" w:hAnsi="Times New Roman" w:cs="Times New Roman"/>
          <w:sz w:val="28"/>
          <w:szCs w:val="28"/>
        </w:rPr>
        <w:t>следующее.</w:t>
      </w:r>
    </w:p>
    <w:p w:rsidR="007A4BD4" w:rsidRPr="008D4FB8" w:rsidRDefault="007A4BD4" w:rsidP="007A4BD4">
      <w:pPr>
        <w:pStyle w:val="a6"/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4FB8">
        <w:rPr>
          <w:rFonts w:ascii="Times New Roman" w:hAnsi="Times New Roman" w:cs="Times New Roman"/>
          <w:sz w:val="28"/>
          <w:szCs w:val="28"/>
        </w:rPr>
        <w:t>В период с 2014 года по июль 2018 года в Тульской области принят 61 нормативный правовой акт (Законы Тульской области, постановления и распоряжения правительства области), регулирующих</w:t>
      </w:r>
      <w:r w:rsidRPr="008D4FB8">
        <w:rPr>
          <w:rFonts w:ascii="Times New Roman" w:hAnsi="Times New Roman" w:cs="Times New Roman"/>
          <w:kern w:val="28"/>
          <w:sz w:val="28"/>
          <w:szCs w:val="28"/>
        </w:rPr>
        <w:t xml:space="preserve"> вопросы организации и функционирования контрактной системы. На момент проведения настоящего экспертно-аналитического мероприятия органами государственной власти Тульской области приняты все правовые акты, принятие которых предусмотрено в обязательном порядке.</w:t>
      </w:r>
    </w:p>
    <w:p w:rsidR="007A4BD4" w:rsidRPr="00C8658C" w:rsidRDefault="007A4BD4" w:rsidP="007A4BD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D4FB8">
        <w:rPr>
          <w:rFonts w:ascii="Times New Roman" w:eastAsia="Calibri" w:hAnsi="Times New Roman" w:cs="Times New Roman"/>
          <w:kern w:val="28"/>
          <w:sz w:val="28"/>
          <w:szCs w:val="28"/>
        </w:rPr>
        <w:t>В организационно-функциональную структуру</w:t>
      </w:r>
      <w:r w:rsidRPr="00C8658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контрактной системы в Тульской области входят:</w:t>
      </w:r>
    </w:p>
    <w:p w:rsidR="007A4BD4" w:rsidRPr="00C8658C" w:rsidRDefault="007A4BD4" w:rsidP="007A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8658C">
        <w:rPr>
          <w:rFonts w:ascii="Times New Roman" w:eastAsia="Calibri" w:hAnsi="Times New Roman" w:cs="Times New Roman"/>
          <w:kern w:val="28"/>
          <w:sz w:val="28"/>
          <w:szCs w:val="28"/>
        </w:rPr>
        <w:t>– органы государственной власти Тульской области, осуществляющие правовое регулирование региональных особенностей функционирования контрактной системы;</w:t>
      </w:r>
    </w:p>
    <w:p w:rsidR="007A4BD4" w:rsidRPr="004C30E7" w:rsidRDefault="007A4BD4" w:rsidP="007A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8658C">
        <w:rPr>
          <w:rFonts w:ascii="Times New Roman" w:eastAsia="Calibri" w:hAnsi="Times New Roman" w:cs="Times New Roman"/>
          <w:kern w:val="28"/>
          <w:sz w:val="28"/>
          <w:szCs w:val="28"/>
        </w:rPr>
        <w:t>– Министерство финансов как орган по регулированию контрактной системы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  <w:r w:rsidRPr="00C8658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как орган, осуществляющий контроль в рамках своих полномочий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  <w:r w:rsidRPr="00C8658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как а</w:t>
      </w: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>дминистратор РИС ТО;</w:t>
      </w:r>
    </w:p>
    <w:p w:rsidR="007A4BD4" w:rsidRPr="004C30E7" w:rsidRDefault="007A4BD4" w:rsidP="007A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>– Министерство информатизации как оператор РИС ТО;</w:t>
      </w:r>
    </w:p>
    <w:p w:rsidR="007A4BD4" w:rsidRPr="004C30E7" w:rsidRDefault="007A4BD4" w:rsidP="007A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>– ГКУ ТО «ЦОЗ» как уполномоченное учреждение, осуществляющее в рамках централизации закупок определение поставщиков (подрядчиков, исполнителей) для заказчиков Тульской области, а также выступающее в роли специализированной организации;</w:t>
      </w:r>
    </w:p>
    <w:p w:rsidR="007A4BD4" w:rsidRPr="004C30E7" w:rsidRDefault="007A4BD4" w:rsidP="007A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>– государственные органы Тульской области, осуществляющие ведомственный контроль в сфере закупок;</w:t>
      </w:r>
    </w:p>
    <w:p w:rsidR="007A4BD4" w:rsidRPr="004C30E7" w:rsidRDefault="007A4BD4" w:rsidP="007A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– государственные и муниципальные заказчики, муниципальные уполномоченные органы;</w:t>
      </w:r>
    </w:p>
    <w:p w:rsidR="007A4BD4" w:rsidRPr="004C30E7" w:rsidRDefault="007A4BD4" w:rsidP="007A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>– Контрольный комитет, являющийся органом исполнительной власти Тульской области, уполномоченным на осуществление контроля в сфере закупок и внутреннего государственного финансового контроля в отношении закупок;</w:t>
      </w:r>
    </w:p>
    <w:p w:rsidR="007A4BD4" w:rsidRPr="004C30E7" w:rsidRDefault="007A4BD4" w:rsidP="007A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>– Счетная палата – региональный орган</w:t>
      </w:r>
      <w:r w:rsidRPr="004C30E7">
        <w:rPr>
          <w:rFonts w:ascii="Calibri" w:eastAsia="Calibri" w:hAnsi="Calibri" w:cs="Times New Roman"/>
        </w:rPr>
        <w:t xml:space="preserve"> </w:t>
      </w: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>аудита в сфере закупок, региональный орган внешнего государственного финансового контроля.</w:t>
      </w:r>
    </w:p>
    <w:p w:rsidR="007A4BD4" w:rsidRPr="004C30E7" w:rsidRDefault="007A4BD4" w:rsidP="007A4BD4">
      <w:pPr>
        <w:pStyle w:val="a6"/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C30E7">
        <w:rPr>
          <w:rFonts w:ascii="Times New Roman" w:hAnsi="Times New Roman" w:cs="Times New Roman"/>
          <w:kern w:val="28"/>
          <w:sz w:val="28"/>
          <w:szCs w:val="28"/>
        </w:rPr>
        <w:t>Министерством финансов</w:t>
      </w: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как органом по регулированию контрактной системы</w:t>
      </w:r>
      <w:r w:rsidRPr="004C30E7">
        <w:rPr>
          <w:rFonts w:ascii="Times New Roman" w:hAnsi="Times New Roman" w:cs="Times New Roman"/>
          <w:kern w:val="28"/>
          <w:sz w:val="28"/>
          <w:szCs w:val="28"/>
        </w:rPr>
        <w:t xml:space="preserve"> в целях методического обеспечения деятельности заказчиков в 2014 – 2016 годах приняты 17 методических документов (приказы, методические рекомендации).</w:t>
      </w:r>
    </w:p>
    <w:p w:rsidR="007A4BD4" w:rsidRPr="004C30E7" w:rsidRDefault="007A4BD4" w:rsidP="007A4BD4">
      <w:pPr>
        <w:pStyle w:val="a6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C30E7">
        <w:rPr>
          <w:rFonts w:ascii="Times New Roman" w:hAnsi="Times New Roman" w:cs="Times New Roman"/>
          <w:kern w:val="28"/>
          <w:sz w:val="28"/>
          <w:szCs w:val="28"/>
        </w:rPr>
        <w:t>В целях проведения информационно-разъяснительной работы и повышения квалификации заказчиков Тульской области Министерством финансов за 2015–2017 годы проведены 22 мероприятия: форум, семинары – совещания, конференции.</w:t>
      </w:r>
    </w:p>
    <w:p w:rsidR="007A4BD4" w:rsidRPr="004C30E7" w:rsidRDefault="007A4BD4" w:rsidP="007A4BD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C30E7">
        <w:rPr>
          <w:rFonts w:ascii="Times New Roman" w:hAnsi="Times New Roman" w:cs="Times New Roman"/>
          <w:kern w:val="28"/>
          <w:sz w:val="28"/>
          <w:szCs w:val="28"/>
        </w:rPr>
        <w:t>Информационно-техническим обеспечением контрактной системы в Тульской области является РИС ТО (ответственными за развитие, ведение и обслуживание РИС ТО определены Министерство финансов и Министерство информатизации). По состоянию на 01 апреля 2018 года в РИС ТО зарегистрировано 2 997 пользователей, 1 514 заказчиков, а также 2 478 поставщиков.</w:t>
      </w:r>
    </w:p>
    <w:p w:rsidR="007A4BD4" w:rsidRDefault="007A4BD4" w:rsidP="007A4BD4">
      <w:pPr>
        <w:pStyle w:val="a6"/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C30E7">
        <w:rPr>
          <w:rFonts w:ascii="Times New Roman" w:hAnsi="Times New Roman" w:cs="Times New Roman"/>
          <w:kern w:val="28"/>
          <w:sz w:val="28"/>
          <w:szCs w:val="28"/>
        </w:rPr>
        <w:t>Развитие контрактной системы в Тульской области осуществляется в рамках подпрограммы «Развитие контрактной системы Тульской области» государственной программы Тульской области «Управление государственными финансами Тульской области». Исполнение бюджетных назначений по расходам в рамках реализации программных мероприятий, направленных</w:t>
      </w:r>
      <w:r w:rsidRPr="004E3436">
        <w:rPr>
          <w:rFonts w:ascii="Times New Roman" w:hAnsi="Times New Roman" w:cs="Times New Roman"/>
          <w:kern w:val="28"/>
          <w:sz w:val="28"/>
          <w:szCs w:val="28"/>
        </w:rPr>
        <w:t xml:space="preserve"> на построение, функционирование и развитие контрактной системы, в течение всего анализируемого периода находится на достаточно высоком уровне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(за 2014 – 2017 годы освоено 121 743,7 тыс. рублей, что составило 98,8% от планового объема).</w:t>
      </w:r>
    </w:p>
    <w:p w:rsidR="007A4BD4" w:rsidRPr="004C30E7" w:rsidRDefault="007A4BD4" w:rsidP="007A4BD4">
      <w:pPr>
        <w:pStyle w:val="a6"/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E7">
        <w:rPr>
          <w:rFonts w:ascii="Times New Roman" w:hAnsi="Times New Roman" w:cs="Times New Roman"/>
          <w:kern w:val="28"/>
          <w:sz w:val="28"/>
          <w:szCs w:val="28"/>
        </w:rPr>
        <w:t>По состоянию на 01 января 2018 года в Тульской области в сфере закупок функционируют 283</w:t>
      </w:r>
      <w:r w:rsidRPr="004C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и муниципальные контрактные службы (численность персонала которых составляет 1 320 человек), а также 1 234 контрактных управляющих.</w:t>
      </w:r>
    </w:p>
    <w:p w:rsidR="007A4BD4" w:rsidRPr="004C30E7" w:rsidRDefault="007A4BD4" w:rsidP="007A4BD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данным Отчетов о размещении закупок в 2014-2017 годах за 4 года для обеспечения государственных нужд проведено закупок совокупный объем которых составил 148 506 на сумму 79 546,3 млн. рублей. Рост общего количества закупок в 2017 году (37 770) к уровню 2014 года составил 16,4%. </w:t>
      </w:r>
    </w:p>
    <w:p w:rsidR="007A4BD4" w:rsidRPr="004C30E7" w:rsidRDefault="007A4BD4" w:rsidP="007A4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Наибольший удельный вес </w:t>
      </w:r>
      <w:r w:rsidRPr="004C30E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 количеству</w:t>
      </w: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проведенных закупок, занимают закупки, проводимые у единственного поставщика (в 201</w:t>
      </w:r>
      <w:r w:rsidR="009F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– </w:t>
      </w:r>
      <w:r w:rsidR="009F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63,7</w:t>
      </w: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%). Наибольшую долю </w:t>
      </w:r>
      <w:r w:rsidRPr="004C30E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 стоимостном выражении</w:t>
      </w: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занимают закупки, проводимые </w:t>
      </w:r>
      <w:r w:rsidR="009F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путем аукциона в электронной форме (в 2</w:t>
      </w: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</w:t>
      </w:r>
      <w:r w:rsidR="009F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– 8</w:t>
      </w:r>
      <w:r w:rsidR="009F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4C3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,8%</w:t>
      </w:r>
      <w:r w:rsidR="009F2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133BB9" w:rsidRPr="002F05A5" w:rsidRDefault="00133BB9" w:rsidP="00133BB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 xml:space="preserve">Удельный вес поставщиков (подрядчиков, исполнителей), зарегистрированных на территориях других регионов, в 2017 году составил от 1,5% по конкурсам с ограниченным участием до 50% по запросам предложений, что свидетельствует о доступности информации о проводимых закупках для участников размещения заказа из других регионов РФ. Однако, как показывает другой показатель – среднее количество поставщиков (подрядчиков, исполнителей) на 1 лот (от 1,3 по запросам предложений до 3,4 по открытым конкурсам), – вовлечение новых участников в процесс </w:t>
      </w:r>
      <w:r w:rsidRPr="00FF5D94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осуществления закупок для государственных нужд остается на данный момент в числе приоритетных задач для Тульской области. В связи с вышесказанным Счетная палата предлагает принять меры </w:t>
      </w:r>
      <w:r w:rsidRPr="00FF5D94">
        <w:rPr>
          <w:rFonts w:ascii="Times New Roman" w:eastAsia="Calibri" w:hAnsi="Times New Roman" w:cs="Times New Roman"/>
          <w:i/>
          <w:kern w:val="28"/>
          <w:sz w:val="28"/>
          <w:szCs w:val="28"/>
        </w:rPr>
        <w:t>по стимулированию в Тульской области конкуренции на рынке товаров, работ и услуги, а также привлечению и информированию потенциальных участников закупок.</w:t>
      </w:r>
    </w:p>
    <w:p w:rsidR="00D23C7C" w:rsidRDefault="007A4BD4" w:rsidP="002F05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4C30E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По результатам экспертно-аналитического мероприятия </w:t>
      </w:r>
      <w:r w:rsidR="00D23C7C">
        <w:rPr>
          <w:rFonts w:ascii="Times New Roman" w:eastAsia="Calibri" w:hAnsi="Times New Roman" w:cs="Times New Roman"/>
          <w:kern w:val="28"/>
          <w:sz w:val="28"/>
          <w:szCs w:val="28"/>
        </w:rPr>
        <w:t>счетной палатой подготовлены предложения по совершенствованию нормативно-правовой базы в сфере закупок в части:</w:t>
      </w:r>
    </w:p>
    <w:p w:rsidR="00C8658C" w:rsidRPr="00C8658C" w:rsidRDefault="00D23C7C" w:rsidP="002F05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- </w:t>
      </w:r>
      <w:r w:rsidRPr="00D23C7C">
        <w:rPr>
          <w:rFonts w:ascii="Times New Roman" w:eastAsia="Calibri" w:hAnsi="Times New Roman" w:cs="Times New Roman"/>
          <w:kern w:val="28"/>
          <w:sz w:val="28"/>
          <w:szCs w:val="28"/>
        </w:rPr>
        <w:t>принятия</w:t>
      </w:r>
      <w:r w:rsidR="00C8658C" w:rsidRPr="00D23C7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региональном уровне нормативного правового акта, предусматривающего осуществление мониторинга закупок, закрепление указанной функции за Министерством финансов и установление перечня и порядка оценки соответствующих показателей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2F05A5" w:rsidRPr="002F05A5" w:rsidRDefault="00D23C7C" w:rsidP="002F05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- внесения изменений в постановление</w:t>
      </w:r>
      <w:r w:rsidR="002F05A5"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Правительства Тульской области от 22.07.2014 №360 «Об утверждении Правил принятия решений о заключении государственных контрактов, длительность производственного цикла выполнения, оказания которых превышает срок действия утвержденных лимитов бюджетных обязательств»,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учитывающее</w:t>
      </w:r>
      <w:r w:rsidR="002F05A5"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случаи заключения такого рода контрактов органом управления территориального фонда обязательного медицинского страхования Тульской области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2F05A5" w:rsidRPr="002F05A5" w:rsidRDefault="00D23C7C" w:rsidP="002F05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- утверждения</w:t>
      </w:r>
      <w:r w:rsidR="002F05A5"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типового положения о закупке и определению перечня организаций, на которые оно распространяется, в соответствии со статьей 2 Закона о закупках отдельными видами юридических лиц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2F05A5" w:rsidRPr="002F05A5" w:rsidRDefault="00D23C7C" w:rsidP="002F05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- принятия нормативного правового акта по</w:t>
      </w:r>
      <w:r w:rsidRPr="00D23C7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установлению порядка осуществления ведомственного контроля</w:t>
      </w: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соблюдением требований Закона о закупках отдельными видами юридических лиц и иных принятых в соответствии с ним нормативных правовых актов РФ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177A52" w:rsidRDefault="00D23C7C" w:rsidP="00177A5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- </w:t>
      </w:r>
      <w:r w:rsidR="00177A52"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 </w:t>
      </w:r>
      <w:r w:rsidR="00177A52" w:rsidRPr="002F05A5">
        <w:rPr>
          <w:rFonts w:ascii="Times New Roman" w:eastAsia="Calibri" w:hAnsi="Times New Roman" w:cs="Times New Roman"/>
          <w:i/>
          <w:kern w:val="28"/>
          <w:sz w:val="28"/>
          <w:szCs w:val="28"/>
        </w:rPr>
        <w:t>дополнении Правил осуществления ведомственного контроля в сфере закупок для об</w:t>
      </w:r>
      <w:r w:rsidR="00177A52">
        <w:rPr>
          <w:rFonts w:ascii="Times New Roman" w:eastAsia="Calibri" w:hAnsi="Times New Roman" w:cs="Times New Roman"/>
          <w:i/>
          <w:kern w:val="28"/>
          <w:sz w:val="28"/>
          <w:szCs w:val="28"/>
        </w:rPr>
        <w:t xml:space="preserve">еспечения нужд Тульской области, утвержденных </w:t>
      </w:r>
      <w:r w:rsidR="00177A52">
        <w:rPr>
          <w:rFonts w:ascii="Times New Roman" w:eastAsia="Calibri" w:hAnsi="Times New Roman" w:cs="Times New Roman"/>
          <w:kern w:val="28"/>
          <w:sz w:val="28"/>
          <w:szCs w:val="28"/>
        </w:rPr>
        <w:t>постановлением</w:t>
      </w: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правительства Тульской области от 26.06.2014 № 304 «Об утверждении Правил осуществления ведомственного контроля в сфере закупок для обеспечения нужд Тульской области» </w:t>
      </w:r>
      <w:r w:rsidRPr="002F05A5">
        <w:rPr>
          <w:rFonts w:ascii="Times New Roman" w:eastAsia="Calibri" w:hAnsi="Times New Roman" w:cs="Times New Roman"/>
          <w:i/>
          <w:kern w:val="28"/>
          <w:sz w:val="28"/>
          <w:szCs w:val="28"/>
        </w:rPr>
        <w:t xml:space="preserve">нормой следующего содержания: «При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</w:t>
      </w:r>
      <w:r w:rsidRPr="002F05A5">
        <w:rPr>
          <w:rFonts w:ascii="Times New Roman" w:eastAsia="Calibri" w:hAnsi="Times New Roman" w:cs="Times New Roman"/>
          <w:i/>
          <w:kern w:val="28"/>
          <w:sz w:val="28"/>
          <w:szCs w:val="28"/>
        </w:rPr>
        <w:lastRenderedPageBreak/>
        <w:t>высшим органом исполнительной власти Тульской области (либо органом ведомственного контроля в регламенте осуществления ведомственного контроля), разрабатывается и утверждается план устранения выявленных нарушений, который является приложением к акту проверки. Заказчик в течение 30 календарных дней уведомляет орган ведомственного контроля о принятых мерах по устранению выявленных нарушений»</w:t>
      </w:r>
      <w:r w:rsidR="00177A52">
        <w:rPr>
          <w:rFonts w:ascii="Times New Roman" w:eastAsia="Calibri" w:hAnsi="Times New Roman" w:cs="Times New Roman"/>
          <w:i/>
          <w:kern w:val="28"/>
          <w:sz w:val="28"/>
          <w:szCs w:val="28"/>
        </w:rPr>
        <w:t>;</w:t>
      </w:r>
    </w:p>
    <w:p w:rsidR="00D23C7C" w:rsidRDefault="00177A52" w:rsidP="00D23C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- </w:t>
      </w:r>
      <w:r w:rsidRPr="00177A52">
        <w:rPr>
          <w:rFonts w:ascii="Times New Roman" w:eastAsia="Calibri" w:hAnsi="Times New Roman" w:cs="Times New Roman"/>
          <w:kern w:val="28"/>
          <w:sz w:val="28"/>
          <w:szCs w:val="28"/>
        </w:rPr>
        <w:t>установления</w:t>
      </w:r>
      <w:r w:rsidRPr="00177A5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регламентах </w:t>
      </w:r>
      <w:r w:rsidRPr="00177A5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 проведении ведомственного контроля </w:t>
      </w:r>
      <w:r w:rsidRPr="00177A52">
        <w:rPr>
          <w:rFonts w:ascii="Times New Roman" w:eastAsia="Calibri" w:hAnsi="Times New Roman" w:cs="Times New Roman"/>
          <w:kern w:val="28"/>
          <w:sz w:val="28"/>
          <w:szCs w:val="28"/>
        </w:rPr>
        <w:t>положения о составлении планов устранения выявленных нарушений, а также об информировании субъектами контроля соответствующего органа ведомственного контроля о результатах работы по устранению и недопущению нарушений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</w:p>
    <w:p w:rsidR="00177A52" w:rsidRPr="00177A52" w:rsidRDefault="00177A52" w:rsidP="002F05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- </w:t>
      </w:r>
      <w:r w:rsidRPr="00177A52">
        <w:rPr>
          <w:rFonts w:ascii="Times New Roman" w:eastAsia="Calibri" w:hAnsi="Times New Roman" w:cs="Times New Roman"/>
          <w:kern w:val="28"/>
          <w:sz w:val="28"/>
          <w:szCs w:val="28"/>
        </w:rPr>
        <w:t>применения</w:t>
      </w:r>
      <w:r w:rsidR="002F05A5" w:rsidRPr="00177A5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Pr="00177A5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 </w:t>
      </w:r>
      <w:r w:rsidR="002F05A5" w:rsidRPr="00177A52">
        <w:rPr>
          <w:rFonts w:ascii="Times New Roman" w:eastAsia="Calibri" w:hAnsi="Times New Roman" w:cs="Times New Roman"/>
          <w:kern w:val="28"/>
          <w:sz w:val="28"/>
          <w:szCs w:val="28"/>
        </w:rPr>
        <w:t>Тульской области</w:t>
      </w:r>
      <w:r w:rsidRPr="00177A5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практики казначейского сопровождения контрактов;</w:t>
      </w:r>
    </w:p>
    <w:p w:rsidR="00177A52" w:rsidRPr="00177A52" w:rsidRDefault="00177A52" w:rsidP="002F05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177A5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- корректировки показателей </w:t>
      </w: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>подпрограммы «Развитие контрактной системы Тульской области» государственной программы Тульской области «Управление государственн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ыми финансами Тульской области».</w:t>
      </w:r>
    </w:p>
    <w:p w:rsidR="002F05A5" w:rsidRPr="002F05A5" w:rsidRDefault="00177A52" w:rsidP="002F05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 </w:t>
      </w:r>
      <w:r w:rsidR="002F05A5"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анализируемом периоде основную долю нарушений, выявляемых при </w:t>
      </w:r>
      <w:r w:rsidR="002F05A5" w:rsidRPr="002874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проведении контроля </w:t>
      </w:r>
      <w:r w:rsidR="00954807" w:rsidRPr="002874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и аудита </w:t>
      </w:r>
      <w:r w:rsidR="002F05A5" w:rsidRPr="002874C0">
        <w:rPr>
          <w:rFonts w:ascii="Times New Roman" w:eastAsia="Calibri" w:hAnsi="Times New Roman" w:cs="Times New Roman"/>
          <w:kern w:val="28"/>
          <w:sz w:val="28"/>
          <w:szCs w:val="28"/>
        </w:rPr>
        <w:t>в сфере</w:t>
      </w:r>
      <w:r w:rsidR="002F05A5"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закупок, составляли следующие:</w:t>
      </w:r>
    </w:p>
    <w:p w:rsidR="002F05A5" w:rsidRPr="002F05A5" w:rsidRDefault="002F05A5" w:rsidP="002F0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>– нарушения порядка осуществления закупок товаров, работ, услуг;</w:t>
      </w:r>
    </w:p>
    <w:p w:rsidR="002F05A5" w:rsidRPr="002F05A5" w:rsidRDefault="002F05A5" w:rsidP="002F0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>– нарушения порядка ведения реестра контрактов;</w:t>
      </w:r>
    </w:p>
    <w:p w:rsidR="002F05A5" w:rsidRPr="002F05A5" w:rsidRDefault="002F05A5" w:rsidP="002F0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>– нарушения порядка заключения и изменения контрактов.</w:t>
      </w:r>
    </w:p>
    <w:p w:rsidR="002F05A5" w:rsidRPr="002F05A5" w:rsidRDefault="002F05A5" w:rsidP="002F05A5">
      <w:p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>В 2017 году также выявлялись нарушения при планировании закупок и нарушения срока и порядка оплаты приобретаемых товаров, работ, услуг.</w:t>
      </w:r>
    </w:p>
    <w:p w:rsidR="002F05A5" w:rsidRPr="002F05A5" w:rsidRDefault="002F05A5" w:rsidP="002F0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 2018 году выявлено 937 фактов правонарушений, 67,1% которых приходится </w:t>
      </w:r>
      <w:r w:rsidRPr="00A95B12">
        <w:rPr>
          <w:rFonts w:ascii="Times New Roman" w:eastAsia="Calibri" w:hAnsi="Times New Roman" w:cs="Times New Roman"/>
          <w:kern w:val="28"/>
          <w:sz w:val="28"/>
          <w:szCs w:val="28"/>
        </w:rPr>
        <w:t>на несвоевременное направление документов о приемке поставленного товара, выполненной работы, оказанной услуги, а также на нарушение срока</w:t>
      </w: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размещения на официальном сайте отчета об исполнении контракта.</w:t>
      </w:r>
    </w:p>
    <w:p w:rsidR="002F05A5" w:rsidRPr="002F05A5" w:rsidRDefault="002F05A5" w:rsidP="002F0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 учетом вышеизложенного Счетная палата предлагает ГРБС и подведомственным им учреждениям </w:t>
      </w:r>
      <w:r w:rsidRPr="002F05A5">
        <w:rPr>
          <w:rFonts w:ascii="Times New Roman" w:eastAsia="Calibri" w:hAnsi="Times New Roman" w:cs="Times New Roman"/>
          <w:i/>
          <w:kern w:val="28"/>
          <w:sz w:val="28"/>
          <w:szCs w:val="28"/>
        </w:rPr>
        <w:t>принять меры к соблюдению законодательства о контрактной системе и недопущению указанных нарушений</w:t>
      </w:r>
      <w:r w:rsidRPr="002F05A5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AF25D7" w:rsidRDefault="00A95B12" w:rsidP="00A95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A95B1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Отчет по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результатам экспертно-аналитиче</w:t>
      </w:r>
      <w:r w:rsidRPr="00A95B12">
        <w:rPr>
          <w:rFonts w:ascii="Times New Roman" w:eastAsia="Calibri" w:hAnsi="Times New Roman" w:cs="Times New Roman"/>
          <w:kern w:val="28"/>
          <w:sz w:val="28"/>
          <w:szCs w:val="28"/>
        </w:rPr>
        <w:t>с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к</w:t>
      </w:r>
      <w:r w:rsidRPr="00A95B1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ого мероприятия </w:t>
      </w:r>
      <w:r w:rsidR="00C94FB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 предложениями счетной палаты Тульской области </w:t>
      </w:r>
      <w:bookmarkStart w:id="0" w:name="_GoBack"/>
      <w:bookmarkEnd w:id="0"/>
      <w:r w:rsidRPr="00A95B12">
        <w:rPr>
          <w:rFonts w:ascii="Times New Roman" w:eastAsia="Calibri" w:hAnsi="Times New Roman" w:cs="Times New Roman"/>
          <w:kern w:val="28"/>
          <w:sz w:val="28"/>
          <w:szCs w:val="28"/>
        </w:rPr>
        <w:t>направлен в правительство Тульской области.</w:t>
      </w:r>
    </w:p>
    <w:p w:rsidR="00A95B12" w:rsidRPr="00A95B12" w:rsidRDefault="00A95B12" w:rsidP="00A95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AF25D7" w:rsidRPr="00AF25D7" w:rsidRDefault="00AF25D7" w:rsidP="00AF25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Аудитор</w:t>
      </w:r>
    </w:p>
    <w:p w:rsidR="00AF25D7" w:rsidRDefault="00AF25D7" w:rsidP="008D4F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счетной палаты Тульской области</w:t>
      </w: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F25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Гремякова</w:t>
      </w:r>
    </w:p>
    <w:sectPr w:rsidR="00AF25D7" w:rsidSect="007162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4A" w:rsidRDefault="00B67A4A" w:rsidP="007162E7">
      <w:pPr>
        <w:spacing w:after="0" w:line="240" w:lineRule="auto"/>
      </w:pPr>
      <w:r>
        <w:separator/>
      </w:r>
    </w:p>
  </w:endnote>
  <w:endnote w:type="continuationSeparator" w:id="0">
    <w:p w:rsidR="00B67A4A" w:rsidRDefault="00B67A4A" w:rsidP="0071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4A" w:rsidRDefault="00B67A4A" w:rsidP="007162E7">
      <w:pPr>
        <w:spacing w:after="0" w:line="240" w:lineRule="auto"/>
      </w:pPr>
      <w:r>
        <w:separator/>
      </w:r>
    </w:p>
  </w:footnote>
  <w:footnote w:type="continuationSeparator" w:id="0">
    <w:p w:rsidR="00B67A4A" w:rsidRDefault="00B67A4A" w:rsidP="0071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67226959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1343EE" w:rsidRPr="000B3DFC" w:rsidRDefault="001343EE">
        <w:pPr>
          <w:pStyle w:val="a9"/>
          <w:jc w:val="center"/>
          <w:rPr>
            <w:rFonts w:ascii="Times New Roman" w:hAnsi="Times New Roman" w:cs="Times New Roman"/>
            <w:color w:val="808080" w:themeColor="background1" w:themeShade="80"/>
          </w:rPr>
        </w:pPr>
        <w:r w:rsidRPr="000B3DFC">
          <w:rPr>
            <w:rFonts w:ascii="Times New Roman" w:hAnsi="Times New Roman" w:cs="Times New Roman"/>
            <w:color w:val="808080" w:themeColor="background1" w:themeShade="80"/>
          </w:rPr>
          <w:fldChar w:fldCharType="begin"/>
        </w:r>
        <w:r w:rsidRPr="000B3DFC">
          <w:rPr>
            <w:rFonts w:ascii="Times New Roman" w:hAnsi="Times New Roman" w:cs="Times New Roman"/>
            <w:color w:val="808080" w:themeColor="background1" w:themeShade="80"/>
          </w:rPr>
          <w:instrText>PAGE   \* MERGEFORMAT</w:instrText>
        </w:r>
        <w:r w:rsidRPr="000B3DFC">
          <w:rPr>
            <w:rFonts w:ascii="Times New Roman" w:hAnsi="Times New Roman" w:cs="Times New Roman"/>
            <w:color w:val="808080" w:themeColor="background1" w:themeShade="80"/>
          </w:rPr>
          <w:fldChar w:fldCharType="separate"/>
        </w:r>
        <w:r w:rsidR="000264CE">
          <w:rPr>
            <w:rFonts w:ascii="Times New Roman" w:hAnsi="Times New Roman" w:cs="Times New Roman"/>
            <w:noProof/>
            <w:color w:val="808080" w:themeColor="background1" w:themeShade="80"/>
          </w:rPr>
          <w:t>4</w:t>
        </w:r>
        <w:r w:rsidRPr="000B3DFC">
          <w:rPr>
            <w:rFonts w:ascii="Times New Roman" w:hAnsi="Times New Roman" w:cs="Times New Roman"/>
            <w:color w:val="808080" w:themeColor="background1" w:themeShade="80"/>
          </w:rPr>
          <w:fldChar w:fldCharType="end"/>
        </w:r>
      </w:p>
    </w:sdtContent>
  </w:sdt>
  <w:p w:rsidR="001343EE" w:rsidRDefault="001343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C48"/>
    <w:multiLevelType w:val="multilevel"/>
    <w:tmpl w:val="C83E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57D7"/>
    <w:multiLevelType w:val="hybridMultilevel"/>
    <w:tmpl w:val="1F1E3EF6"/>
    <w:lvl w:ilvl="0" w:tplc="CBC25586">
      <w:start w:val="1"/>
      <w:numFmt w:val="bullet"/>
      <w:lvlText w:val="–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084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2C0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A21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870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215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4E6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08B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A75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AF3F43"/>
    <w:multiLevelType w:val="multilevel"/>
    <w:tmpl w:val="692E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C4CD8"/>
    <w:multiLevelType w:val="hybridMultilevel"/>
    <w:tmpl w:val="53D69852"/>
    <w:lvl w:ilvl="0" w:tplc="74E63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C20657"/>
    <w:multiLevelType w:val="multilevel"/>
    <w:tmpl w:val="C7A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7386D"/>
    <w:multiLevelType w:val="multilevel"/>
    <w:tmpl w:val="F90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2128A"/>
    <w:multiLevelType w:val="hybridMultilevel"/>
    <w:tmpl w:val="ED8A48F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7FD6C3D"/>
    <w:multiLevelType w:val="multilevel"/>
    <w:tmpl w:val="4DF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76587"/>
    <w:multiLevelType w:val="hybridMultilevel"/>
    <w:tmpl w:val="8B84C64C"/>
    <w:lvl w:ilvl="0" w:tplc="EB4EBBAC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4224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8F64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CE1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A5C3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ACDC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CE16A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42E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CF24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7252F8"/>
    <w:multiLevelType w:val="hybridMultilevel"/>
    <w:tmpl w:val="BA12F084"/>
    <w:lvl w:ilvl="0" w:tplc="2440F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C65D0E"/>
    <w:multiLevelType w:val="multilevel"/>
    <w:tmpl w:val="362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6432A"/>
    <w:multiLevelType w:val="hybridMultilevel"/>
    <w:tmpl w:val="B4ACB636"/>
    <w:lvl w:ilvl="0" w:tplc="EFB45254">
      <w:start w:val="20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CE3B8D"/>
    <w:multiLevelType w:val="hybridMultilevel"/>
    <w:tmpl w:val="8CD0693C"/>
    <w:lvl w:ilvl="0" w:tplc="9DDED3A8">
      <w:start w:val="20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FFA083E"/>
    <w:multiLevelType w:val="hybridMultilevel"/>
    <w:tmpl w:val="768E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A7A34"/>
    <w:multiLevelType w:val="hybridMultilevel"/>
    <w:tmpl w:val="DD2EC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7"/>
    <w:rsid w:val="00000052"/>
    <w:rsid w:val="00007C34"/>
    <w:rsid w:val="00011084"/>
    <w:rsid w:val="000119DB"/>
    <w:rsid w:val="00011C50"/>
    <w:rsid w:val="000264CE"/>
    <w:rsid w:val="00026A50"/>
    <w:rsid w:val="00027DFE"/>
    <w:rsid w:val="00030CA9"/>
    <w:rsid w:val="00036A12"/>
    <w:rsid w:val="00036B3B"/>
    <w:rsid w:val="000456AA"/>
    <w:rsid w:val="000466B8"/>
    <w:rsid w:val="000520ED"/>
    <w:rsid w:val="00056802"/>
    <w:rsid w:val="00060856"/>
    <w:rsid w:val="00070E1B"/>
    <w:rsid w:val="00074687"/>
    <w:rsid w:val="0007660C"/>
    <w:rsid w:val="00090D80"/>
    <w:rsid w:val="00093079"/>
    <w:rsid w:val="000A0155"/>
    <w:rsid w:val="000A0CC6"/>
    <w:rsid w:val="000A1935"/>
    <w:rsid w:val="000A2FEF"/>
    <w:rsid w:val="000A3E55"/>
    <w:rsid w:val="000A6F6E"/>
    <w:rsid w:val="000B039B"/>
    <w:rsid w:val="000B3B64"/>
    <w:rsid w:val="000B3DFC"/>
    <w:rsid w:val="000B7676"/>
    <w:rsid w:val="000C2ECA"/>
    <w:rsid w:val="000C43B9"/>
    <w:rsid w:val="000C4934"/>
    <w:rsid w:val="000C5931"/>
    <w:rsid w:val="000D086C"/>
    <w:rsid w:val="000D1777"/>
    <w:rsid w:val="000D18A3"/>
    <w:rsid w:val="000D1B1C"/>
    <w:rsid w:val="000D5750"/>
    <w:rsid w:val="000D714F"/>
    <w:rsid w:val="000D7898"/>
    <w:rsid w:val="000E2573"/>
    <w:rsid w:val="000E7767"/>
    <w:rsid w:val="000F4EAA"/>
    <w:rsid w:val="000F5465"/>
    <w:rsid w:val="00102B50"/>
    <w:rsid w:val="00102DB0"/>
    <w:rsid w:val="001045EC"/>
    <w:rsid w:val="00116539"/>
    <w:rsid w:val="001172D5"/>
    <w:rsid w:val="0012563D"/>
    <w:rsid w:val="0012569D"/>
    <w:rsid w:val="001267D8"/>
    <w:rsid w:val="00133BB9"/>
    <w:rsid w:val="00133E7A"/>
    <w:rsid w:val="001343EE"/>
    <w:rsid w:val="001350C3"/>
    <w:rsid w:val="00141FED"/>
    <w:rsid w:val="00150741"/>
    <w:rsid w:val="00153E3D"/>
    <w:rsid w:val="00161348"/>
    <w:rsid w:val="001668EB"/>
    <w:rsid w:val="00174D4B"/>
    <w:rsid w:val="00174F16"/>
    <w:rsid w:val="001774E6"/>
    <w:rsid w:val="00177A52"/>
    <w:rsid w:val="00180305"/>
    <w:rsid w:val="00192F3C"/>
    <w:rsid w:val="0019314E"/>
    <w:rsid w:val="00193D18"/>
    <w:rsid w:val="001944B6"/>
    <w:rsid w:val="0019457A"/>
    <w:rsid w:val="00196FFE"/>
    <w:rsid w:val="001A29AA"/>
    <w:rsid w:val="001A409D"/>
    <w:rsid w:val="001A4419"/>
    <w:rsid w:val="001C4E18"/>
    <w:rsid w:val="001C6194"/>
    <w:rsid w:val="001C6345"/>
    <w:rsid w:val="001C78D4"/>
    <w:rsid w:val="001D07DA"/>
    <w:rsid w:val="001E40D3"/>
    <w:rsid w:val="001F135D"/>
    <w:rsid w:val="00203EDD"/>
    <w:rsid w:val="00212435"/>
    <w:rsid w:val="00213291"/>
    <w:rsid w:val="00220C6D"/>
    <w:rsid w:val="002210CF"/>
    <w:rsid w:val="00222279"/>
    <w:rsid w:val="00222D51"/>
    <w:rsid w:val="0022473D"/>
    <w:rsid w:val="00243A0D"/>
    <w:rsid w:val="00253370"/>
    <w:rsid w:val="002562BD"/>
    <w:rsid w:val="00273668"/>
    <w:rsid w:val="00275D4E"/>
    <w:rsid w:val="002829B6"/>
    <w:rsid w:val="00283D0F"/>
    <w:rsid w:val="002874C0"/>
    <w:rsid w:val="00292A5F"/>
    <w:rsid w:val="002A0A51"/>
    <w:rsid w:val="002A63A4"/>
    <w:rsid w:val="002B1068"/>
    <w:rsid w:val="002B4B37"/>
    <w:rsid w:val="002B630C"/>
    <w:rsid w:val="002B7567"/>
    <w:rsid w:val="002C019E"/>
    <w:rsid w:val="002C04C8"/>
    <w:rsid w:val="002C1B2A"/>
    <w:rsid w:val="002C32AF"/>
    <w:rsid w:val="002C6EDF"/>
    <w:rsid w:val="002C7062"/>
    <w:rsid w:val="002D0244"/>
    <w:rsid w:val="002D2ADD"/>
    <w:rsid w:val="002E1056"/>
    <w:rsid w:val="002E15C0"/>
    <w:rsid w:val="002E1B2C"/>
    <w:rsid w:val="002F05A5"/>
    <w:rsid w:val="002F2163"/>
    <w:rsid w:val="002F5F57"/>
    <w:rsid w:val="0030248E"/>
    <w:rsid w:val="00303C29"/>
    <w:rsid w:val="00312118"/>
    <w:rsid w:val="00313EE2"/>
    <w:rsid w:val="00315E64"/>
    <w:rsid w:val="00316A9D"/>
    <w:rsid w:val="0032150D"/>
    <w:rsid w:val="00325281"/>
    <w:rsid w:val="0032609E"/>
    <w:rsid w:val="003279E5"/>
    <w:rsid w:val="00327B75"/>
    <w:rsid w:val="003338E8"/>
    <w:rsid w:val="0033498D"/>
    <w:rsid w:val="003365B3"/>
    <w:rsid w:val="00336887"/>
    <w:rsid w:val="00344F61"/>
    <w:rsid w:val="00357C64"/>
    <w:rsid w:val="0036128A"/>
    <w:rsid w:val="0036397C"/>
    <w:rsid w:val="00365B7C"/>
    <w:rsid w:val="00373601"/>
    <w:rsid w:val="003753F7"/>
    <w:rsid w:val="00376DE8"/>
    <w:rsid w:val="003867A5"/>
    <w:rsid w:val="003879A1"/>
    <w:rsid w:val="00387A2B"/>
    <w:rsid w:val="00394EEE"/>
    <w:rsid w:val="003A07F8"/>
    <w:rsid w:val="003A5D14"/>
    <w:rsid w:val="003A6739"/>
    <w:rsid w:val="003B4957"/>
    <w:rsid w:val="003B627D"/>
    <w:rsid w:val="003B7BC4"/>
    <w:rsid w:val="003C0CDD"/>
    <w:rsid w:val="003C2659"/>
    <w:rsid w:val="003C7C19"/>
    <w:rsid w:val="003C7FC3"/>
    <w:rsid w:val="003D041A"/>
    <w:rsid w:val="003D4120"/>
    <w:rsid w:val="003E0005"/>
    <w:rsid w:val="003E26EE"/>
    <w:rsid w:val="003E7459"/>
    <w:rsid w:val="004015E2"/>
    <w:rsid w:val="00403D24"/>
    <w:rsid w:val="004112C7"/>
    <w:rsid w:val="004116CF"/>
    <w:rsid w:val="00411AC7"/>
    <w:rsid w:val="00424484"/>
    <w:rsid w:val="00430AF3"/>
    <w:rsid w:val="00432919"/>
    <w:rsid w:val="00432D28"/>
    <w:rsid w:val="004347C3"/>
    <w:rsid w:val="00444E6D"/>
    <w:rsid w:val="004520D5"/>
    <w:rsid w:val="00454AA3"/>
    <w:rsid w:val="00460E59"/>
    <w:rsid w:val="00462E28"/>
    <w:rsid w:val="004675F0"/>
    <w:rsid w:val="00480210"/>
    <w:rsid w:val="0048375B"/>
    <w:rsid w:val="004B2701"/>
    <w:rsid w:val="004B34E6"/>
    <w:rsid w:val="004B7D65"/>
    <w:rsid w:val="004C30E7"/>
    <w:rsid w:val="004C386F"/>
    <w:rsid w:val="004C48A8"/>
    <w:rsid w:val="004C632B"/>
    <w:rsid w:val="004C7AA4"/>
    <w:rsid w:val="004D119E"/>
    <w:rsid w:val="004D5984"/>
    <w:rsid w:val="004E1457"/>
    <w:rsid w:val="004E1C51"/>
    <w:rsid w:val="004E3436"/>
    <w:rsid w:val="004E4AA1"/>
    <w:rsid w:val="004E54B3"/>
    <w:rsid w:val="00500363"/>
    <w:rsid w:val="00514784"/>
    <w:rsid w:val="005235EF"/>
    <w:rsid w:val="00525E8A"/>
    <w:rsid w:val="005269EC"/>
    <w:rsid w:val="00530934"/>
    <w:rsid w:val="005312B8"/>
    <w:rsid w:val="00533806"/>
    <w:rsid w:val="00534565"/>
    <w:rsid w:val="00535200"/>
    <w:rsid w:val="00542B68"/>
    <w:rsid w:val="00544B32"/>
    <w:rsid w:val="00545A0B"/>
    <w:rsid w:val="00553B72"/>
    <w:rsid w:val="00556241"/>
    <w:rsid w:val="00556531"/>
    <w:rsid w:val="00557228"/>
    <w:rsid w:val="00564069"/>
    <w:rsid w:val="00564B8D"/>
    <w:rsid w:val="005657B2"/>
    <w:rsid w:val="005776E8"/>
    <w:rsid w:val="00580514"/>
    <w:rsid w:val="00587E2B"/>
    <w:rsid w:val="00593C0D"/>
    <w:rsid w:val="00593C61"/>
    <w:rsid w:val="005A3133"/>
    <w:rsid w:val="005A6271"/>
    <w:rsid w:val="005A64E4"/>
    <w:rsid w:val="005B0195"/>
    <w:rsid w:val="005B2440"/>
    <w:rsid w:val="005C00FF"/>
    <w:rsid w:val="005C0EA2"/>
    <w:rsid w:val="005C4F3D"/>
    <w:rsid w:val="005D2760"/>
    <w:rsid w:val="005D5B7A"/>
    <w:rsid w:val="005E0973"/>
    <w:rsid w:val="005E3F7C"/>
    <w:rsid w:val="005E4114"/>
    <w:rsid w:val="005E6021"/>
    <w:rsid w:val="005F0B23"/>
    <w:rsid w:val="005F0BE1"/>
    <w:rsid w:val="00600812"/>
    <w:rsid w:val="00603F3E"/>
    <w:rsid w:val="00607770"/>
    <w:rsid w:val="00607F40"/>
    <w:rsid w:val="00611618"/>
    <w:rsid w:val="0061546F"/>
    <w:rsid w:val="00615BBF"/>
    <w:rsid w:val="00621806"/>
    <w:rsid w:val="006248D1"/>
    <w:rsid w:val="0064497E"/>
    <w:rsid w:val="00662100"/>
    <w:rsid w:val="00665782"/>
    <w:rsid w:val="00667AB6"/>
    <w:rsid w:val="006724D5"/>
    <w:rsid w:val="00672AFD"/>
    <w:rsid w:val="00683B3D"/>
    <w:rsid w:val="00690915"/>
    <w:rsid w:val="00691FDB"/>
    <w:rsid w:val="0069569C"/>
    <w:rsid w:val="006968AC"/>
    <w:rsid w:val="006A3122"/>
    <w:rsid w:val="006A3BB6"/>
    <w:rsid w:val="006A6DDA"/>
    <w:rsid w:val="006B0688"/>
    <w:rsid w:val="006B08AA"/>
    <w:rsid w:val="006C2A3C"/>
    <w:rsid w:val="006C459E"/>
    <w:rsid w:val="006D012A"/>
    <w:rsid w:val="006D63D5"/>
    <w:rsid w:val="006E2EB8"/>
    <w:rsid w:val="006E6171"/>
    <w:rsid w:val="006E6B7A"/>
    <w:rsid w:val="006E6FEF"/>
    <w:rsid w:val="007012A8"/>
    <w:rsid w:val="00703D8A"/>
    <w:rsid w:val="0071364C"/>
    <w:rsid w:val="00715701"/>
    <w:rsid w:val="007162E7"/>
    <w:rsid w:val="007173F0"/>
    <w:rsid w:val="00723A81"/>
    <w:rsid w:val="00734EE9"/>
    <w:rsid w:val="00735A86"/>
    <w:rsid w:val="00740ABF"/>
    <w:rsid w:val="0074305B"/>
    <w:rsid w:val="00743926"/>
    <w:rsid w:val="007576DA"/>
    <w:rsid w:val="007730B3"/>
    <w:rsid w:val="007805EF"/>
    <w:rsid w:val="00782DE0"/>
    <w:rsid w:val="00785337"/>
    <w:rsid w:val="00785D2F"/>
    <w:rsid w:val="00790550"/>
    <w:rsid w:val="0079735E"/>
    <w:rsid w:val="007A15B2"/>
    <w:rsid w:val="007A4BD4"/>
    <w:rsid w:val="007A5A1E"/>
    <w:rsid w:val="007A6180"/>
    <w:rsid w:val="007B32B8"/>
    <w:rsid w:val="007B4960"/>
    <w:rsid w:val="007C1D10"/>
    <w:rsid w:val="007C27DD"/>
    <w:rsid w:val="007D7DBA"/>
    <w:rsid w:val="007E46FC"/>
    <w:rsid w:val="007E5E53"/>
    <w:rsid w:val="007F2307"/>
    <w:rsid w:val="007F5987"/>
    <w:rsid w:val="007F6683"/>
    <w:rsid w:val="007F66A0"/>
    <w:rsid w:val="007F6AB2"/>
    <w:rsid w:val="00803175"/>
    <w:rsid w:val="00804F2F"/>
    <w:rsid w:val="00805C80"/>
    <w:rsid w:val="008063D6"/>
    <w:rsid w:val="00807541"/>
    <w:rsid w:val="00810FDE"/>
    <w:rsid w:val="0081226B"/>
    <w:rsid w:val="00812FAE"/>
    <w:rsid w:val="0081641C"/>
    <w:rsid w:val="008214C6"/>
    <w:rsid w:val="008225D5"/>
    <w:rsid w:val="00831768"/>
    <w:rsid w:val="00835511"/>
    <w:rsid w:val="00836E1D"/>
    <w:rsid w:val="008424EE"/>
    <w:rsid w:val="00842641"/>
    <w:rsid w:val="00845748"/>
    <w:rsid w:val="008476E9"/>
    <w:rsid w:val="00847BFD"/>
    <w:rsid w:val="008577FB"/>
    <w:rsid w:val="00861358"/>
    <w:rsid w:val="00880B84"/>
    <w:rsid w:val="00880ED7"/>
    <w:rsid w:val="0088717C"/>
    <w:rsid w:val="00892C17"/>
    <w:rsid w:val="00897826"/>
    <w:rsid w:val="008C31B8"/>
    <w:rsid w:val="008C56D3"/>
    <w:rsid w:val="008D4FB8"/>
    <w:rsid w:val="008F01DA"/>
    <w:rsid w:val="008F1FD2"/>
    <w:rsid w:val="008F2260"/>
    <w:rsid w:val="008F2F2A"/>
    <w:rsid w:val="008F4C95"/>
    <w:rsid w:val="009101A3"/>
    <w:rsid w:val="009141C3"/>
    <w:rsid w:val="0092059A"/>
    <w:rsid w:val="00920648"/>
    <w:rsid w:val="00920DF1"/>
    <w:rsid w:val="00921EE5"/>
    <w:rsid w:val="009309BF"/>
    <w:rsid w:val="00933B01"/>
    <w:rsid w:val="0093654B"/>
    <w:rsid w:val="009402EB"/>
    <w:rsid w:val="00947296"/>
    <w:rsid w:val="00954807"/>
    <w:rsid w:val="00957751"/>
    <w:rsid w:val="009624C2"/>
    <w:rsid w:val="009664E5"/>
    <w:rsid w:val="00967ABB"/>
    <w:rsid w:val="00971320"/>
    <w:rsid w:val="00975DF7"/>
    <w:rsid w:val="00976D9D"/>
    <w:rsid w:val="00985F62"/>
    <w:rsid w:val="00987A26"/>
    <w:rsid w:val="009B04E6"/>
    <w:rsid w:val="009B1222"/>
    <w:rsid w:val="009B3E5E"/>
    <w:rsid w:val="009B4A02"/>
    <w:rsid w:val="009B5C77"/>
    <w:rsid w:val="009C2FEA"/>
    <w:rsid w:val="009C5CF4"/>
    <w:rsid w:val="009D0F8D"/>
    <w:rsid w:val="009D3033"/>
    <w:rsid w:val="009E6967"/>
    <w:rsid w:val="009F2D49"/>
    <w:rsid w:val="009F7537"/>
    <w:rsid w:val="00A10713"/>
    <w:rsid w:val="00A14B78"/>
    <w:rsid w:val="00A247C6"/>
    <w:rsid w:val="00A26233"/>
    <w:rsid w:val="00A374B1"/>
    <w:rsid w:val="00A41A61"/>
    <w:rsid w:val="00A44D36"/>
    <w:rsid w:val="00A45723"/>
    <w:rsid w:val="00A47D64"/>
    <w:rsid w:val="00A51BE5"/>
    <w:rsid w:val="00A5494E"/>
    <w:rsid w:val="00A6017B"/>
    <w:rsid w:val="00A61BBE"/>
    <w:rsid w:val="00A722F1"/>
    <w:rsid w:val="00A72324"/>
    <w:rsid w:val="00A83132"/>
    <w:rsid w:val="00A87B80"/>
    <w:rsid w:val="00A93D1A"/>
    <w:rsid w:val="00A9584B"/>
    <w:rsid w:val="00A95B12"/>
    <w:rsid w:val="00A97AB2"/>
    <w:rsid w:val="00AA1D2B"/>
    <w:rsid w:val="00AA531F"/>
    <w:rsid w:val="00AA53A9"/>
    <w:rsid w:val="00AB1539"/>
    <w:rsid w:val="00AB32B3"/>
    <w:rsid w:val="00AB489B"/>
    <w:rsid w:val="00AB73D3"/>
    <w:rsid w:val="00AC5837"/>
    <w:rsid w:val="00AD0807"/>
    <w:rsid w:val="00AD0CA6"/>
    <w:rsid w:val="00AD0D5A"/>
    <w:rsid w:val="00AE5A19"/>
    <w:rsid w:val="00AF1148"/>
    <w:rsid w:val="00AF16E8"/>
    <w:rsid w:val="00AF25D7"/>
    <w:rsid w:val="00B002E8"/>
    <w:rsid w:val="00B21721"/>
    <w:rsid w:val="00B22E60"/>
    <w:rsid w:val="00B26615"/>
    <w:rsid w:val="00B266F6"/>
    <w:rsid w:val="00B27976"/>
    <w:rsid w:val="00B41E45"/>
    <w:rsid w:val="00B42D9B"/>
    <w:rsid w:val="00B455DB"/>
    <w:rsid w:val="00B5207B"/>
    <w:rsid w:val="00B55B30"/>
    <w:rsid w:val="00B6162E"/>
    <w:rsid w:val="00B621F0"/>
    <w:rsid w:val="00B64B8C"/>
    <w:rsid w:val="00B65EF1"/>
    <w:rsid w:val="00B67A4A"/>
    <w:rsid w:val="00B74321"/>
    <w:rsid w:val="00B768C2"/>
    <w:rsid w:val="00B87C41"/>
    <w:rsid w:val="00B91DD7"/>
    <w:rsid w:val="00BA1558"/>
    <w:rsid w:val="00BB3515"/>
    <w:rsid w:val="00BB42E4"/>
    <w:rsid w:val="00BB7559"/>
    <w:rsid w:val="00BC4B41"/>
    <w:rsid w:val="00BC6DCE"/>
    <w:rsid w:val="00BC6F33"/>
    <w:rsid w:val="00BD7DE7"/>
    <w:rsid w:val="00BE24D9"/>
    <w:rsid w:val="00BF1AE1"/>
    <w:rsid w:val="00C053BF"/>
    <w:rsid w:val="00C104B4"/>
    <w:rsid w:val="00C131E0"/>
    <w:rsid w:val="00C223E3"/>
    <w:rsid w:val="00C27BA1"/>
    <w:rsid w:val="00C35077"/>
    <w:rsid w:val="00C350EE"/>
    <w:rsid w:val="00C36994"/>
    <w:rsid w:val="00C371E8"/>
    <w:rsid w:val="00C417AF"/>
    <w:rsid w:val="00C43C5E"/>
    <w:rsid w:val="00C51F7B"/>
    <w:rsid w:val="00C54C15"/>
    <w:rsid w:val="00C662A3"/>
    <w:rsid w:val="00C732C7"/>
    <w:rsid w:val="00C76B26"/>
    <w:rsid w:val="00C76FB0"/>
    <w:rsid w:val="00C8658C"/>
    <w:rsid w:val="00C87322"/>
    <w:rsid w:val="00C875A9"/>
    <w:rsid w:val="00C94FB5"/>
    <w:rsid w:val="00CA34A0"/>
    <w:rsid w:val="00CA581C"/>
    <w:rsid w:val="00CB4805"/>
    <w:rsid w:val="00CC2965"/>
    <w:rsid w:val="00CC60F1"/>
    <w:rsid w:val="00CD33C2"/>
    <w:rsid w:val="00CE0CB2"/>
    <w:rsid w:val="00CE73B1"/>
    <w:rsid w:val="00D03567"/>
    <w:rsid w:val="00D0578F"/>
    <w:rsid w:val="00D144A1"/>
    <w:rsid w:val="00D15A9F"/>
    <w:rsid w:val="00D2210E"/>
    <w:rsid w:val="00D23C7C"/>
    <w:rsid w:val="00D2677E"/>
    <w:rsid w:val="00D2742A"/>
    <w:rsid w:val="00D30462"/>
    <w:rsid w:val="00D32C90"/>
    <w:rsid w:val="00D32EE1"/>
    <w:rsid w:val="00D3554D"/>
    <w:rsid w:val="00D35918"/>
    <w:rsid w:val="00D40CD9"/>
    <w:rsid w:val="00D432A2"/>
    <w:rsid w:val="00D4367C"/>
    <w:rsid w:val="00D473FD"/>
    <w:rsid w:val="00D6303B"/>
    <w:rsid w:val="00D63746"/>
    <w:rsid w:val="00D75A26"/>
    <w:rsid w:val="00D82B04"/>
    <w:rsid w:val="00D9473B"/>
    <w:rsid w:val="00D95042"/>
    <w:rsid w:val="00DC69A9"/>
    <w:rsid w:val="00DD1A5F"/>
    <w:rsid w:val="00DE0864"/>
    <w:rsid w:val="00DE5BBA"/>
    <w:rsid w:val="00DE7B4D"/>
    <w:rsid w:val="00DF102E"/>
    <w:rsid w:val="00DF1B1E"/>
    <w:rsid w:val="00DF27B6"/>
    <w:rsid w:val="00DF5A36"/>
    <w:rsid w:val="00E01CB4"/>
    <w:rsid w:val="00E03683"/>
    <w:rsid w:val="00E06124"/>
    <w:rsid w:val="00E06563"/>
    <w:rsid w:val="00E21DF4"/>
    <w:rsid w:val="00E32C3C"/>
    <w:rsid w:val="00E3728F"/>
    <w:rsid w:val="00E40E66"/>
    <w:rsid w:val="00E5302A"/>
    <w:rsid w:val="00E537AD"/>
    <w:rsid w:val="00E561AE"/>
    <w:rsid w:val="00E613A6"/>
    <w:rsid w:val="00E71D29"/>
    <w:rsid w:val="00E82AE6"/>
    <w:rsid w:val="00E8695E"/>
    <w:rsid w:val="00E9748D"/>
    <w:rsid w:val="00EA3D8D"/>
    <w:rsid w:val="00EC0019"/>
    <w:rsid w:val="00ED5951"/>
    <w:rsid w:val="00ED6221"/>
    <w:rsid w:val="00ED7005"/>
    <w:rsid w:val="00ED71A8"/>
    <w:rsid w:val="00F01818"/>
    <w:rsid w:val="00F0275E"/>
    <w:rsid w:val="00F028DF"/>
    <w:rsid w:val="00F0438D"/>
    <w:rsid w:val="00F0452B"/>
    <w:rsid w:val="00F056B3"/>
    <w:rsid w:val="00F05EFC"/>
    <w:rsid w:val="00F07169"/>
    <w:rsid w:val="00F13229"/>
    <w:rsid w:val="00F21CDF"/>
    <w:rsid w:val="00F35B49"/>
    <w:rsid w:val="00F44F64"/>
    <w:rsid w:val="00F4582D"/>
    <w:rsid w:val="00F47883"/>
    <w:rsid w:val="00F478F4"/>
    <w:rsid w:val="00F532C9"/>
    <w:rsid w:val="00F56037"/>
    <w:rsid w:val="00F67C3B"/>
    <w:rsid w:val="00F70D7C"/>
    <w:rsid w:val="00F7380C"/>
    <w:rsid w:val="00FB0EA0"/>
    <w:rsid w:val="00FC4454"/>
    <w:rsid w:val="00FC6AA4"/>
    <w:rsid w:val="00FC7B67"/>
    <w:rsid w:val="00FE76DD"/>
    <w:rsid w:val="00FF427E"/>
    <w:rsid w:val="00FF50D5"/>
    <w:rsid w:val="00FF5D94"/>
    <w:rsid w:val="00FF5E12"/>
    <w:rsid w:val="00FF667B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D8F8A-6B19-4C1C-95D1-D843EB1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E7"/>
  </w:style>
  <w:style w:type="paragraph" w:styleId="1">
    <w:name w:val="heading 1"/>
    <w:basedOn w:val="a"/>
    <w:next w:val="a"/>
    <w:link w:val="10"/>
    <w:qFormat/>
    <w:rsid w:val="00C54C15"/>
    <w:pPr>
      <w:keepNext/>
      <w:spacing w:after="0" w:line="240" w:lineRule="auto"/>
      <w:ind w:right="4818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C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footnote text"/>
    <w:basedOn w:val="a"/>
    <w:link w:val="a4"/>
    <w:uiPriority w:val="99"/>
    <w:unhideWhenUsed/>
    <w:rsid w:val="007162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62E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162E7"/>
    <w:rPr>
      <w:vertAlign w:val="superscript"/>
    </w:rPr>
  </w:style>
  <w:style w:type="paragraph" w:styleId="a6">
    <w:name w:val="List Paragraph"/>
    <w:basedOn w:val="a"/>
    <w:uiPriority w:val="34"/>
    <w:qFormat/>
    <w:rsid w:val="007162E7"/>
    <w:pPr>
      <w:ind w:left="720"/>
      <w:contextualSpacing/>
    </w:pPr>
  </w:style>
  <w:style w:type="table" w:styleId="a7">
    <w:name w:val="Table Grid"/>
    <w:basedOn w:val="a1"/>
    <w:uiPriority w:val="39"/>
    <w:rsid w:val="0071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162E7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7"/>
    <w:rsid w:val="0071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2E7"/>
  </w:style>
  <w:style w:type="paragraph" w:styleId="ab">
    <w:name w:val="footer"/>
    <w:basedOn w:val="a"/>
    <w:link w:val="ac"/>
    <w:uiPriority w:val="99"/>
    <w:unhideWhenUsed/>
    <w:rsid w:val="0071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2E7"/>
  </w:style>
  <w:style w:type="paragraph" w:styleId="ad">
    <w:name w:val="Balloon Text"/>
    <w:basedOn w:val="a"/>
    <w:link w:val="ae"/>
    <w:uiPriority w:val="99"/>
    <w:semiHidden/>
    <w:unhideWhenUsed/>
    <w:rsid w:val="0069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569C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C54C15"/>
    <w:rPr>
      <w:i/>
      <w:iCs/>
    </w:rPr>
  </w:style>
  <w:style w:type="character" w:customStyle="1" w:styleId="apple-style-span">
    <w:name w:val="apple-style-span"/>
    <w:basedOn w:val="a0"/>
    <w:rsid w:val="00C54C15"/>
  </w:style>
  <w:style w:type="character" w:styleId="af0">
    <w:name w:val="Strong"/>
    <w:qFormat/>
    <w:rsid w:val="00C54C15"/>
    <w:rPr>
      <w:b/>
      <w:bCs/>
    </w:rPr>
  </w:style>
  <w:style w:type="paragraph" w:styleId="af1">
    <w:name w:val="caption"/>
    <w:basedOn w:val="a"/>
    <w:next w:val="a"/>
    <w:uiPriority w:val="35"/>
    <w:unhideWhenUsed/>
    <w:qFormat/>
    <w:rsid w:val="00D630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2">
    <w:name w:val="Сетка таблицы2"/>
    <w:basedOn w:val="a1"/>
    <w:next w:val="a7"/>
    <w:uiPriority w:val="59"/>
    <w:rsid w:val="00166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B0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603F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7173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9B1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7"/>
    <w:uiPriority w:val="59"/>
    <w:rsid w:val="00F07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7"/>
    <w:uiPriority w:val="59"/>
    <w:rsid w:val="004112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7"/>
    <w:uiPriority w:val="39"/>
    <w:rsid w:val="003B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3B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04D8-1527-438D-A25B-73BCF27C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Гремякова Ольга Петровна</cp:lastModifiedBy>
  <cp:revision>2</cp:revision>
  <cp:lastPrinted>2018-08-17T11:34:00Z</cp:lastPrinted>
  <dcterms:created xsi:type="dcterms:W3CDTF">2018-08-17T11:40:00Z</dcterms:created>
  <dcterms:modified xsi:type="dcterms:W3CDTF">2018-08-17T11:40:00Z</dcterms:modified>
</cp:coreProperties>
</file>