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67" w:rsidRPr="005D5867" w:rsidRDefault="005D5867" w:rsidP="001D2D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bookmarkStart w:id="0" w:name="_GoBack"/>
      <w:bookmarkEnd w:id="0"/>
      <w:r w:rsidRPr="005D5867">
        <w:rPr>
          <w:rFonts w:ascii="Times New Roman" w:hAnsi="Times New Roman" w:cs="Times New Roman"/>
          <w:b/>
          <w:kern w:val="28"/>
          <w:sz w:val="28"/>
          <w:szCs w:val="28"/>
        </w:rPr>
        <w:t>Информация о заключении</w:t>
      </w:r>
    </w:p>
    <w:p w:rsidR="007E2A95" w:rsidRDefault="005D5867" w:rsidP="001D2D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5D5867">
        <w:rPr>
          <w:rFonts w:ascii="Times New Roman" w:hAnsi="Times New Roman" w:cs="Times New Roman"/>
          <w:b/>
          <w:kern w:val="28"/>
          <w:sz w:val="28"/>
          <w:szCs w:val="28"/>
        </w:rPr>
        <w:t xml:space="preserve">счетной палаты Тульской области по результатам </w:t>
      </w:r>
      <w:r w:rsidR="0081385C">
        <w:rPr>
          <w:rFonts w:ascii="Times New Roman" w:hAnsi="Times New Roman" w:cs="Times New Roman"/>
          <w:b/>
          <w:kern w:val="28"/>
          <w:sz w:val="28"/>
          <w:szCs w:val="28"/>
        </w:rPr>
        <w:t xml:space="preserve">внешней проверки </w:t>
      </w:r>
      <w:r w:rsidRPr="005D5867">
        <w:rPr>
          <w:rFonts w:ascii="Times New Roman" w:hAnsi="Times New Roman" w:cs="Times New Roman"/>
          <w:b/>
          <w:kern w:val="28"/>
          <w:sz w:val="28"/>
          <w:szCs w:val="28"/>
        </w:rPr>
        <w:t xml:space="preserve">годового отчета об исполнении бюджета Тульской области за 2019 год </w:t>
      </w:r>
    </w:p>
    <w:p w:rsidR="001D2D70" w:rsidRPr="007E2A95" w:rsidRDefault="001D2D70" w:rsidP="001D2D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262BA3" w:rsidRDefault="0081385C" w:rsidP="004B2F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1385C">
        <w:rPr>
          <w:rFonts w:ascii="Times New Roman" w:hAnsi="Times New Roman" w:cs="Times New Roman"/>
          <w:sz w:val="28"/>
          <w:szCs w:val="28"/>
        </w:rPr>
        <w:t>аключение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81385C">
        <w:rPr>
          <w:rFonts w:ascii="Times New Roman" w:hAnsi="Times New Roman" w:cs="Times New Roman"/>
          <w:sz w:val="28"/>
          <w:szCs w:val="28"/>
        </w:rPr>
        <w:t xml:space="preserve"> </w:t>
      </w:r>
      <w:r w:rsidRPr="0081385C">
        <w:rPr>
          <w:rFonts w:ascii="Times New Roman" w:hAnsi="Times New Roman" w:cs="Times New Roman"/>
          <w:kern w:val="28"/>
          <w:sz w:val="28"/>
          <w:szCs w:val="28"/>
        </w:rPr>
        <w:t>внешней проверк</w:t>
      </w:r>
      <w:r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81385C">
        <w:rPr>
          <w:rFonts w:ascii="Times New Roman" w:hAnsi="Times New Roman" w:cs="Times New Roman"/>
          <w:kern w:val="28"/>
          <w:sz w:val="28"/>
          <w:szCs w:val="28"/>
        </w:rPr>
        <w:t xml:space="preserve"> годового отчета об исполнении бюджета Тульской области за 2019 год</w:t>
      </w:r>
      <w:r w:rsidRPr="005D5867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81385C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385C">
        <w:rPr>
          <w:rFonts w:ascii="Times New Roman" w:hAnsi="Times New Roman" w:cs="Times New Roman"/>
          <w:sz w:val="28"/>
          <w:szCs w:val="28"/>
        </w:rPr>
        <w:t>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Тульской</w:t>
      </w:r>
      <w:r w:rsidRPr="0081385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038A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C693A">
        <w:rPr>
          <w:rFonts w:ascii="Times New Roman" w:hAnsi="Times New Roman" w:cs="Times New Roman"/>
          <w:sz w:val="28"/>
          <w:szCs w:val="28"/>
        </w:rPr>
        <w:t xml:space="preserve"> с</w:t>
      </w:r>
      <w:r w:rsidR="00F038A4">
        <w:rPr>
          <w:rFonts w:ascii="Times New Roman" w:hAnsi="Times New Roman" w:cs="Times New Roman"/>
          <w:sz w:val="28"/>
          <w:szCs w:val="28"/>
        </w:rPr>
        <w:t xml:space="preserve">четная палата) </w:t>
      </w:r>
      <w:r w:rsidRPr="0081385C">
        <w:rPr>
          <w:rFonts w:ascii="Times New Roman" w:hAnsi="Times New Roman" w:cs="Times New Roman"/>
          <w:sz w:val="28"/>
          <w:szCs w:val="28"/>
        </w:rPr>
        <w:t>с учетом результатов</w:t>
      </w:r>
      <w:r w:rsidR="00ED63CA">
        <w:rPr>
          <w:rFonts w:ascii="Times New Roman" w:hAnsi="Times New Roman" w:cs="Times New Roman"/>
          <w:sz w:val="28"/>
          <w:szCs w:val="28"/>
        </w:rPr>
        <w:t xml:space="preserve"> </w:t>
      </w:r>
      <w:r w:rsidRPr="0081385C">
        <w:rPr>
          <w:rFonts w:ascii="Times New Roman" w:hAnsi="Times New Roman" w:cs="Times New Roman"/>
          <w:sz w:val="28"/>
          <w:szCs w:val="28"/>
        </w:rPr>
        <w:t xml:space="preserve">комплекса проведенных контрольных и экспертно-аналитических мероприятий. </w:t>
      </w:r>
      <w:r w:rsidRPr="0081385C">
        <w:rPr>
          <w:rFonts w:ascii="Times New Roman" w:hAnsi="Times New Roman" w:cs="Times New Roman"/>
          <w:spacing w:val="-2"/>
          <w:sz w:val="28"/>
          <w:szCs w:val="28"/>
        </w:rPr>
        <w:t xml:space="preserve">В рамках указанного комплекса </w:t>
      </w:r>
      <w:r w:rsidRPr="0081385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проведено </w:t>
      </w:r>
      <w:r w:rsidRPr="0081385C">
        <w:rPr>
          <w:rFonts w:ascii="Times New Roman" w:hAnsi="Times New Roman" w:cs="Times New Roman"/>
          <w:spacing w:val="-2"/>
          <w:sz w:val="28"/>
          <w:szCs w:val="28"/>
        </w:rPr>
        <w:t xml:space="preserve">контрольное мероприятие в 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1385C">
        <w:rPr>
          <w:rFonts w:ascii="Times New Roman" w:hAnsi="Times New Roman" w:cs="Times New Roman"/>
          <w:spacing w:val="-2"/>
          <w:sz w:val="28"/>
          <w:szCs w:val="28"/>
        </w:rPr>
        <w:t>инистерстве финансов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Тульской</w:t>
      </w:r>
      <w:r w:rsidRPr="0081385C">
        <w:rPr>
          <w:rFonts w:ascii="Times New Roman" w:hAnsi="Times New Roman" w:cs="Times New Roman"/>
          <w:spacing w:val="-2"/>
          <w:sz w:val="28"/>
          <w:szCs w:val="28"/>
        </w:rPr>
        <w:t xml:space="preserve"> области как органе исполнительной власти Тульской области, ответственном за составление бюджета области, за организацию его исполнения, за составление бюджетной отчетности Тульской области и </w:t>
      </w:r>
      <w:r w:rsidR="00262BA3">
        <w:rPr>
          <w:rFonts w:ascii="Times New Roman" w:hAnsi="Times New Roman" w:cs="Times New Roman"/>
          <w:spacing w:val="-2"/>
          <w:sz w:val="28"/>
          <w:szCs w:val="28"/>
        </w:rPr>
        <w:t>экспертно-аналитические</w:t>
      </w:r>
      <w:r w:rsidRPr="0081385C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</w:t>
      </w:r>
      <w:r w:rsidR="00262BA3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1385C">
        <w:rPr>
          <w:rFonts w:ascii="Times New Roman" w:hAnsi="Times New Roman" w:cs="Times New Roman"/>
          <w:spacing w:val="-2"/>
          <w:sz w:val="28"/>
          <w:szCs w:val="28"/>
        </w:rPr>
        <w:t xml:space="preserve"> по проверке отчетов </w:t>
      </w:r>
      <w:r>
        <w:rPr>
          <w:rFonts w:ascii="Times New Roman" w:hAnsi="Times New Roman" w:cs="Times New Roman"/>
          <w:spacing w:val="-2"/>
          <w:sz w:val="28"/>
          <w:szCs w:val="28"/>
        </w:rPr>
        <w:t>главных администраторов бюджетных средств</w:t>
      </w:r>
      <w:r w:rsidRPr="0081385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62BA3" w:rsidRPr="007E6AF1" w:rsidRDefault="0081385C" w:rsidP="008C693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2B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62BA3" w:rsidRPr="00262BA3">
        <w:rPr>
          <w:rFonts w:ascii="Times New Roman" w:hAnsi="Times New Roman" w:cs="Times New Roman"/>
          <w:spacing w:val="-4"/>
          <w:sz w:val="28"/>
          <w:szCs w:val="28"/>
        </w:rPr>
        <w:t xml:space="preserve">Годовой отчет об исполнении бюджета Тульской области за 2019 год </w:t>
      </w:r>
      <w:r w:rsidR="008C693A">
        <w:rPr>
          <w:rFonts w:ascii="Times New Roman" w:hAnsi="Times New Roman" w:cs="Times New Roman"/>
          <w:spacing w:val="-4"/>
          <w:sz w:val="28"/>
          <w:szCs w:val="28"/>
        </w:rPr>
        <w:t xml:space="preserve">(далее – годовой отчет) </w:t>
      </w:r>
      <w:r w:rsidR="00262BA3" w:rsidRPr="00262BA3">
        <w:rPr>
          <w:rFonts w:ascii="Times New Roman" w:hAnsi="Times New Roman" w:cs="Times New Roman"/>
          <w:spacing w:val="-4"/>
          <w:sz w:val="28"/>
          <w:szCs w:val="28"/>
        </w:rPr>
        <w:t xml:space="preserve">представлен </w:t>
      </w:r>
      <w:r w:rsidR="00F038A4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262BA3" w:rsidRPr="00262BA3">
        <w:rPr>
          <w:rFonts w:ascii="Times New Roman" w:hAnsi="Times New Roman" w:cs="Times New Roman"/>
          <w:spacing w:val="-4"/>
          <w:sz w:val="28"/>
          <w:szCs w:val="28"/>
        </w:rPr>
        <w:t xml:space="preserve">равительством </w:t>
      </w:r>
      <w:r w:rsidR="00F038A4">
        <w:rPr>
          <w:rFonts w:ascii="Times New Roman" w:hAnsi="Times New Roman" w:cs="Times New Roman"/>
          <w:spacing w:val="-4"/>
          <w:sz w:val="28"/>
          <w:szCs w:val="28"/>
        </w:rPr>
        <w:t xml:space="preserve">Тульской </w:t>
      </w:r>
      <w:r w:rsidR="00262BA3" w:rsidRPr="00262BA3">
        <w:rPr>
          <w:rFonts w:ascii="Times New Roman" w:hAnsi="Times New Roman" w:cs="Times New Roman"/>
          <w:spacing w:val="-4"/>
          <w:sz w:val="28"/>
          <w:szCs w:val="28"/>
        </w:rPr>
        <w:t xml:space="preserve">области в </w:t>
      </w:r>
      <w:r w:rsidR="00F038A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262BA3" w:rsidRPr="00262BA3">
        <w:rPr>
          <w:rFonts w:ascii="Times New Roman" w:hAnsi="Times New Roman" w:cs="Times New Roman"/>
          <w:spacing w:val="-4"/>
          <w:sz w:val="28"/>
          <w:szCs w:val="28"/>
        </w:rPr>
        <w:t xml:space="preserve">четную палату в законодательно установленный срок. Документы и материалы, представленные одновременно с </w:t>
      </w:r>
      <w:r w:rsidR="008C693A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262BA3" w:rsidRPr="00262BA3">
        <w:rPr>
          <w:rFonts w:ascii="Times New Roman" w:hAnsi="Times New Roman" w:cs="Times New Roman"/>
          <w:spacing w:val="-4"/>
          <w:sz w:val="28"/>
          <w:szCs w:val="28"/>
        </w:rPr>
        <w:t>одовым отчетом, соответствуют перечню, установленному частью 2 статьи 30 Закона</w:t>
      </w:r>
      <w:r w:rsidR="007E6AF1" w:rsidRPr="007E6AF1">
        <w:rPr>
          <w:sz w:val="28"/>
          <w:szCs w:val="28"/>
        </w:rPr>
        <w:t xml:space="preserve"> </w:t>
      </w:r>
      <w:r w:rsidR="007E6AF1" w:rsidRPr="007E6AF1">
        <w:rPr>
          <w:rFonts w:ascii="Times New Roman" w:hAnsi="Times New Roman" w:cs="Times New Roman"/>
          <w:spacing w:val="-4"/>
          <w:sz w:val="28"/>
          <w:szCs w:val="28"/>
        </w:rPr>
        <w:t>от 09.06.2008 №1015-ЗТО «О бюджетном процессе в Тульской области»</w:t>
      </w:r>
      <w:r w:rsidR="00262BA3" w:rsidRPr="00262B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62BA3" w:rsidRPr="00262BA3" w:rsidRDefault="007E6AF1" w:rsidP="008C693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ля осуществления внешней проверки годовую бюджетную отчетность в </w:t>
      </w:r>
      <w:r w:rsidR="00F038A4">
        <w:rPr>
          <w:rFonts w:ascii="Times New Roman" w:hAnsi="Times New Roman" w:cs="Times New Roman"/>
          <w:sz w:val="28"/>
          <w:szCs w:val="28"/>
        </w:rPr>
        <w:t>с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четную палату представили все главные администраторы бюджетных средств. Бюджетная отчетность представлена с соблюдением сроков, установленных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262BA3" w:rsidRPr="00262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43D" w:rsidRPr="00B9543D" w:rsidRDefault="008C693A" w:rsidP="00B954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Согласно данным годового отчета </w:t>
      </w:r>
      <w:r w:rsidR="00B9543D"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исполнение бюджета области за 2019 год сложилось следующим образом:</w:t>
      </w:r>
    </w:p>
    <w:p w:rsidR="00B9543D" w:rsidRPr="00B9543D" w:rsidRDefault="00B9543D" w:rsidP="00B954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</w:pP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•</w:t>
      </w: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ab/>
        <w:t>доходы бюджета области – 82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314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463,0 тыс. рублей, что на 127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270,7 тыс. рублей (на 0,2%) больше законодательно утвержденного на 2019 год объема доходов;</w:t>
      </w:r>
    </w:p>
    <w:p w:rsidR="00ED63CA" w:rsidRDefault="00B9543D" w:rsidP="00B954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</w:pP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lastRenderedPageBreak/>
        <w:t>•</w:t>
      </w: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ab/>
        <w:t>расходы бюджета области – 82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087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474,2 тыс. рублей, что на 3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248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332,1 тыс. рублей (на 3,8%) меньше </w:t>
      </w:r>
      <w:r w:rsidR="008C693A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законодательного утвержденного</w:t>
      </w:r>
      <w:r w:rsidR="008C693A" w:rsidRPr="008C693A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 </w:t>
      </w:r>
      <w:r w:rsidR="008C693A"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на 2019 год </w:t>
      </w: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объема расходов</w:t>
      </w:r>
      <w:r w:rsidR="00ED63CA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.</w:t>
      </w: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 </w:t>
      </w:r>
    </w:p>
    <w:p w:rsidR="00B9543D" w:rsidRDefault="00B9543D" w:rsidP="00B954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</w:pP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В 2019 году бюджет области исполнен с превышением доходов над расходами в сумме 226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B9543D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988,8 тыс. рублей.</w:t>
      </w:r>
    </w:p>
    <w:p w:rsidR="00833309" w:rsidRPr="00833309" w:rsidRDefault="00C30F9C" w:rsidP="008333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szCs w:val="28"/>
          <w:highlight w:val="yellow"/>
        </w:rPr>
      </w:pP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Поступления налоговых и неналоговых доходов в 2019 году составили 65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292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193,3 тыс. рублей, или 101,5% к утвержденному показателю, к уровню поступлений 2018 года – 110,5%. Счетная палата отмечает, что структура доходов бюджета области в 2019 году не претерпела существенных</w:t>
      </w:r>
      <w:r w:rsidR="001D2D70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 изменений несмотря на изменения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 </w:t>
      </w:r>
      <w:r w:rsidR="001D2D70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в 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налогово</w:t>
      </w:r>
      <w:r w:rsidR="001D2D70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м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 законодательств</w:t>
      </w:r>
      <w:r w:rsidR="001D2D70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е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. Доля налоговых и неналоговых доходов </w:t>
      </w:r>
      <w:r w:rsidR="00AB36AA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в общем объеме доходов бюджета области 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в 2019 году составила 79,3% (в 2018 году – 79,9%).</w:t>
      </w:r>
    </w:p>
    <w:p w:rsidR="00C30F9C" w:rsidRPr="00C30F9C" w:rsidRDefault="00C30F9C" w:rsidP="00C30F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</w:pP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В 2019 году, как и в 2018 году, </w:t>
      </w:r>
      <w:r w:rsidR="00ED63CA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более 90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% поступлений налоговых и неналоговых доходов бюджета области обеспечили следующие налоги: налог на прибыль организаций – 37,2% (24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272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623,5 тыс. рублей), налог на доходы физических лиц – 29,9% (19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511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282,0 тыс. рублей), акцизы – 18,4% (12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042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891,5тыс. рублей), налог на имущество организаций – 7,3% (4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771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575,6 тыс. рублей).</w:t>
      </w:r>
    </w:p>
    <w:p w:rsidR="00833309" w:rsidRPr="00C30F9C" w:rsidRDefault="00C30F9C" w:rsidP="00C30F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</w:pP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Доля безвозмездных поступлений в доходах бюджета области составила 20,7%. Объем безвозмездных поступлений в 2019 году составил 17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022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269,7 тыс. рублей, или 95,4% от объема, утвержденного в </w:t>
      </w:r>
      <w:r w:rsidR="004C454F" w:rsidRPr="004C454F">
        <w:rPr>
          <w:rFonts w:ascii="Times New Roman" w:eastAsia="Calibri" w:hAnsi="Times New Roman" w:cs="Times New Roman"/>
          <w:sz w:val="28"/>
          <w:szCs w:val="28"/>
        </w:rPr>
        <w:t>Закон</w:t>
      </w:r>
      <w:r w:rsidR="004C454F">
        <w:rPr>
          <w:rFonts w:ascii="Times New Roman" w:eastAsia="Calibri" w:hAnsi="Times New Roman" w:cs="Times New Roman"/>
          <w:sz w:val="28"/>
          <w:szCs w:val="28"/>
        </w:rPr>
        <w:t>е</w:t>
      </w:r>
      <w:r w:rsidR="004C454F" w:rsidRPr="004C454F">
        <w:rPr>
          <w:rFonts w:ascii="Times New Roman" w:eastAsia="Calibri" w:hAnsi="Times New Roman" w:cs="Times New Roman"/>
          <w:sz w:val="28"/>
          <w:szCs w:val="28"/>
        </w:rPr>
        <w:t xml:space="preserve"> Тульской области от 21.12.2018 №107-ЗТО «О бюджете Тульской области на 2019 год и на плановый период 2020 и 2021 годов» </w:t>
      </w:r>
      <w:r w:rsidR="004C454F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4C454F"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–</w:t>
      </w:r>
      <w:r w:rsidR="004C4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54F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Закон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 о бюджете области на 2019 год</w:t>
      </w:r>
      <w:r w:rsidR="004C454F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)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, к уровню 2018 года – 114,2%. Безвозмездные поступления из федерального бюджета в 2019 году составили 15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507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647,5 тыс. рублей (96,4% утвержденного объема и 111,7% к уровню 2018 года (больше на 1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618</w:t>
      </w:r>
      <w:r w:rsidR="00FF01F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 </w:t>
      </w:r>
      <w:r w:rsidRPr="00C30F9C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348,0 тыс. рублей)).</w:t>
      </w:r>
    </w:p>
    <w:p w:rsidR="00D11164" w:rsidRDefault="008F426D" w:rsidP="006E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2019 году исполнение расходов бюджета области осуществляли 32 </w:t>
      </w:r>
      <w:r w:rsidR="00D111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главных распорядителя бюджетных средств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Средний процент исполнения бюджета области по расходам составил 96,2% к показателям, утвержденным Законо</w:t>
      </w:r>
      <w:r w:rsidR="00ED63C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 о бюджете области на 2019 год.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6E2DBD" w:rsidRPr="00C30F9C" w:rsidRDefault="008F426D" w:rsidP="006E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Объем программных расходов бюджета области в 2019 году составил 77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838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973,3 тыс. рублей (или 94,8% в объеме расходов бюджета области), к объему программных расходов 2018 года – 115,3%, на 10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321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888,5 тыс. рублей больше, при этом доля программных расходов в 2019 году меньше аналогичного показателя в 2018 году (96,1%).</w:t>
      </w:r>
    </w:p>
    <w:p w:rsidR="008F426D" w:rsidRPr="00C30F9C" w:rsidRDefault="00E40F09" w:rsidP="006E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D2D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Законе о бюджете области на 2019 год было предусмотрено бюджетные ассигнования на </w:t>
      </w:r>
      <w:r w:rsidR="00ED63C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исполнение</w:t>
      </w:r>
      <w:r w:rsidRPr="001D2D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35 региональных проектов</w:t>
      </w:r>
      <w:r w:rsidR="00ED63C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реализуемых</w:t>
      </w:r>
      <w:r w:rsidRPr="001D2D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рамках национальных проектов. Кассовые расходы были осуществлены по</w:t>
      </w:r>
      <w:r w:rsidR="008F426D" w:rsidRPr="001D2D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34 региональны</w:t>
      </w:r>
      <w:r w:rsidR="00ED63C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</w:t>
      </w:r>
      <w:r w:rsidR="008F426D" w:rsidRPr="001D2D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проект</w:t>
      </w:r>
      <w:r w:rsidRPr="001D2D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ам и составили</w:t>
      </w:r>
      <w:r w:rsidR="008F426D" w:rsidRPr="001D2D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2019 году 7</w:t>
      </w:r>
      <w:r w:rsidR="00FF01FC" w:rsidRPr="001D2D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="008F426D" w:rsidRPr="001D2D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160</w:t>
      </w:r>
      <w:r w:rsidR="00FF01FC" w:rsidRPr="001D2D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="008F426D" w:rsidRPr="001D2D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760,3 тыс. </w:t>
      </w:r>
      <w:r w:rsidR="008F426D"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рублей (82,8% от показателей сводной бюджетной росписи), что составляет 8,7% общего объема расходов бюджета области. </w:t>
      </w:r>
    </w:p>
    <w:p w:rsidR="008F426D" w:rsidRPr="00C30F9C" w:rsidRDefault="008F426D" w:rsidP="008F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2019 году бюджетные ассигнования дорожного фонда Тульской области использованы в сумме 7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369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535,6 тыс. рублей, что со</w:t>
      </w:r>
      <w:r w:rsidR="00D111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ставляет (98,5% от показателей с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водной бюджетной росписи), в том числе за счет межбюджетных трансфертов из федерального бюджета – 1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261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146,9 тыс. рублей. Следует отметить значительное увеличение расходов дорожного фонда в 2019 году к уровню 2018 года – в 1,5 раза (на 2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432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380,9 тыс. рублей больше).</w:t>
      </w:r>
    </w:p>
    <w:p w:rsidR="008F426D" w:rsidRPr="00C30F9C" w:rsidRDefault="008F426D" w:rsidP="008F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</w:t>
      </w:r>
      <w:r w:rsidR="00D111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2019 году из Резервного фонда п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равительства </w:t>
      </w:r>
      <w:r w:rsidR="00D111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Тульской области 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выделено 38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161,7 тыс. рублей на основании 32 распоряжений </w:t>
      </w:r>
      <w:r w:rsidR="00D111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равительства </w:t>
      </w:r>
      <w:r w:rsidR="00D111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Тульской 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облас</w:t>
      </w:r>
      <w:r w:rsidR="00D111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ти. Значительная часть средств р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езервного фонда</w:t>
      </w:r>
      <w:r w:rsidR="00D11164" w:rsidRPr="00D111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D11164"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 распределена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D111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61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838,3 тыс. рублей</w:t>
      </w:r>
      <w:r w:rsidR="00D111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или 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61,8% предусмотренного объема резервного фонда). </w:t>
      </w:r>
    </w:p>
    <w:p w:rsidR="008F426D" w:rsidRPr="00C30F9C" w:rsidRDefault="008F426D" w:rsidP="008F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Кассовые расходы бюджета области за счет средств Резервного фонда правительства</w:t>
      </w:r>
      <w:r w:rsidR="00D1116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Тульской области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составили 28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686,3 тыс. рублей, или 75,2% от объема выделенных средств согласно распоряжениям </w:t>
      </w:r>
      <w:r w:rsidR="001D2D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равительства </w:t>
      </w:r>
      <w:r w:rsidR="001D2D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Тульской 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области.</w:t>
      </w:r>
    </w:p>
    <w:p w:rsidR="008F426D" w:rsidRPr="00C30F9C" w:rsidRDefault="008F426D" w:rsidP="006E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Общая сумма задолженности по бюджетным кредитам, предоставленным из бюджета области муниципальным образованиям и юридическим лицам, за 2019 год увеличилась на 13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="00ED63C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838,6 тыс. рублей, или на 1,9%,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на 01.01.2020 составила 738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735,5 тыс. рублей.</w:t>
      </w:r>
    </w:p>
    <w:p w:rsidR="008F426D" w:rsidRPr="00C30F9C" w:rsidRDefault="008F426D" w:rsidP="008F426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Объем государственного долга Тульской области за 2019 год сократился на 1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986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319,8 тыс. рублей (на 11,1%) и на 01.01.2020 составил 15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953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756,4 тыс. рублей. Долговая нагрузка на бюджет области (отношение государственного долга к объему доходов без учета объема безвозмездных поступлений) в 2019 году составила 24,4% (к уровню 2018 года сократилась на 6 процентных пунктов), что соответствует показателю, установленному постановлением Правительства области от 27.09.2018 №398 «Об утверждении долговой политики Тульской области на 2019 год и на плановый период 2020 и 2021 годов», а также установленным Минфином России условиям реструктуризации задолженности бюджета области по бюджетным кредитам, предоставленным в 2015 году (не более 36%). </w:t>
      </w:r>
    </w:p>
    <w:p w:rsidR="008F426D" w:rsidRPr="00C30F9C" w:rsidRDefault="008F426D" w:rsidP="008F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2019 году общий объем безвозмездных поступлений из бюджета области в местные бюджеты составил 23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655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244,7 тыс. рублей (увеличился к уровню 2018 года на 2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888</w:t>
      </w:r>
      <w:r w:rsidR="00FF01F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249,0 тыс. рублей, или на 13,9%).</w:t>
      </w:r>
    </w:p>
    <w:p w:rsidR="008F426D" w:rsidRPr="00C30F9C" w:rsidRDefault="00F038A4" w:rsidP="008F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результате</w:t>
      </w:r>
      <w:r w:rsidR="00D83F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принятых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мер</w:t>
      </w:r>
      <w:r w:rsidR="00D83F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при</w:t>
      </w:r>
      <w:r w:rsidR="008F426D"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формирования межбюджетных отношений между бюджетом области и бюджетами муниципальных образований, при предоставлении в 2019 году из бюджета области дотаций на выравнивание бюджетной обеспеченности бюджетов </w:t>
      </w:r>
      <w:r w:rsidR="00D83F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муниципальных образований</w:t>
      </w:r>
      <w:r w:rsidR="008F426D"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разрыв между пятью наименее обеспеченными и пятью наиболее обеспеченными муниципальными образованиями в 2019 году сократился с 5,3 до 1,7 раза.</w:t>
      </w:r>
    </w:p>
    <w:p w:rsidR="00C30F9C" w:rsidRDefault="00C30F9C" w:rsidP="00C30F9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Анализ годовой бюджетной отчетности главных администраторов бюджетных средств показал следующее.</w:t>
      </w:r>
    </w:p>
    <w:p w:rsidR="00F038A4" w:rsidRPr="00F038A4" w:rsidRDefault="00F038A4" w:rsidP="00F038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A4">
        <w:rPr>
          <w:rFonts w:ascii="Times New Roman" w:hAnsi="Times New Roman" w:cs="Times New Roman"/>
          <w:sz w:val="28"/>
          <w:szCs w:val="28"/>
        </w:rPr>
        <w:t>Бюджетная отчетность в основном представлена в полном объеме форм, предусмотренных Инструкцией № 191н, но имеются отдельные недостатки при заполнении форм и таблиц, входящих в состав Пояснительной записки к годовому отчету, в отдельных случаях не представлены формы и таблицы, входящие в состав Пояснительной записки, а также информация:</w:t>
      </w:r>
    </w:p>
    <w:p w:rsidR="00F038A4" w:rsidRPr="00F038A4" w:rsidRDefault="00F038A4" w:rsidP="00F038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A4">
        <w:rPr>
          <w:rFonts w:ascii="Times New Roman" w:hAnsi="Times New Roman" w:cs="Times New Roman"/>
          <w:sz w:val="28"/>
          <w:szCs w:val="28"/>
        </w:rPr>
        <w:lastRenderedPageBreak/>
        <w:t>о сведениях, отражение которых в Пояснительной записке предусмотрено вступившими в силу федеральными стандартами по бухгалтерскому учету в организациях бюджетной сферы;</w:t>
      </w:r>
    </w:p>
    <w:p w:rsidR="00F038A4" w:rsidRPr="00F038A4" w:rsidRDefault="00F038A4" w:rsidP="00F038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8A4">
        <w:rPr>
          <w:rFonts w:ascii="Times New Roman" w:hAnsi="Times New Roman" w:cs="Times New Roman"/>
          <w:sz w:val="28"/>
          <w:szCs w:val="28"/>
        </w:rPr>
        <w:t>о причинах образования дебиторской и кредиторской задолженности, задолженности по оплате исполнительных документов и правового обоснования их возникновения.</w:t>
      </w:r>
    </w:p>
    <w:p w:rsidR="00F038A4" w:rsidRPr="00F038A4" w:rsidRDefault="00F038A4" w:rsidP="00F038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038A4">
        <w:rPr>
          <w:rFonts w:ascii="Times New Roman" w:hAnsi="Times New Roman" w:cs="Times New Roman"/>
          <w:sz w:val="28"/>
          <w:szCs w:val="28"/>
        </w:rPr>
        <w:t xml:space="preserve">Аналогичные недостатки были отмечены счетной палатой и при проведении внешней проверки бюджетной отчетности </w:t>
      </w:r>
      <w:r w:rsidR="001D2D70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</w:t>
      </w:r>
      <w:r w:rsidRPr="00F038A4">
        <w:rPr>
          <w:rFonts w:ascii="Times New Roman" w:hAnsi="Times New Roman" w:cs="Times New Roman"/>
          <w:sz w:val="28"/>
          <w:szCs w:val="28"/>
        </w:rPr>
        <w:t xml:space="preserve"> за 2018 год.</w:t>
      </w:r>
    </w:p>
    <w:p w:rsidR="00C30F9C" w:rsidRDefault="00C30F9C" w:rsidP="000E41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результатам внешней проверки бюджетной отчетности и в целях у</w:t>
      </w:r>
      <w:r w:rsidR="00F038A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странения выявленных нарушений с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четной палатой области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предложено:</w:t>
      </w:r>
    </w:p>
    <w:p w:rsidR="00C30F9C" w:rsidRPr="00C30F9C" w:rsidRDefault="00C30F9C" w:rsidP="00C30F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– 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органам исполнительной власти Тульской области повысить качество управления государственными финансами, принять меры к обеспечению исполнения расходов в утвержденных объемах, а также равномерности кассовых расходов бюджета области в течение финансового года;</w:t>
      </w:r>
    </w:p>
    <w:p w:rsidR="00C30F9C" w:rsidRPr="00C30F9C" w:rsidRDefault="00C30F9C" w:rsidP="00C30F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ктивизировать работу главных администраторов доходов по исполнению плановых показателей по неналоговым доходам;</w:t>
      </w:r>
    </w:p>
    <w:p w:rsidR="00C30F9C" w:rsidRPr="00C30F9C" w:rsidRDefault="00C30F9C" w:rsidP="00C30F9C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целях сокращения расходов бюджетов муниципальных образований, рассмотреть возможность снижения платы за пользование бюджетными кредитами, предоставляемыми из бюджета Тульской области бюджетам муниципальных образований</w:t>
      </w:r>
      <w:r w:rsidR="00B75C6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C30F9C" w:rsidRPr="00C30F9C" w:rsidRDefault="00C30F9C" w:rsidP="00C30F9C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– усилить контроль за организацией бюджетного учета в органах исполнительной власти в части операций по и</w:t>
      </w:r>
      <w:r w:rsidR="00B75C6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сполнительным документам;</w:t>
      </w:r>
    </w:p>
    <w:p w:rsidR="00C30F9C" w:rsidRPr="00C30F9C" w:rsidRDefault="00C30F9C" w:rsidP="00C30F9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– учитывая выявляемые ежегодно недостатки по заполнению форм отчетности </w:t>
      </w:r>
      <w:r w:rsidR="00ED63C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главных администраторов бюджетных средств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составе пояснительной записки, усилить контроль за соблюдением установленных действующим законодательств</w:t>
      </w:r>
      <w:r w:rsidR="00B75C6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ом требований к ее формированию;</w:t>
      </w:r>
    </w:p>
    <w:p w:rsidR="00C30F9C" w:rsidRPr="00C30F9C" w:rsidRDefault="00C30F9C" w:rsidP="00C30F9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– принять меры по устранению выявленных недостатков и нарушений в ходе комплекса мероприятий в рамках внешней проверки </w:t>
      </w:r>
      <w:r w:rsidR="001D2D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r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одового отчета.</w:t>
      </w:r>
    </w:p>
    <w:p w:rsidR="007A1515" w:rsidRPr="006E2DBD" w:rsidRDefault="001D2D70" w:rsidP="001A785E">
      <w:pPr>
        <w:widowControl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З</w:t>
      </w:r>
      <w:r w:rsidR="00C30F9C"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аключение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</w:t>
      </w:r>
      <w:r w:rsidRPr="001D2D70">
        <w:rPr>
          <w:rFonts w:ascii="Times New Roman" w:hAnsi="Times New Roman" w:cs="Times New Roman"/>
          <w:kern w:val="28"/>
          <w:sz w:val="28"/>
          <w:szCs w:val="28"/>
        </w:rPr>
        <w:t xml:space="preserve"> результатам внешней проверки годового отчета об исполнении бюджета Тульской области за 2019 год </w:t>
      </w:r>
      <w:r w:rsidR="00C30F9C"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направлено в Тульскую областную Думу и правительство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Тульской</w:t>
      </w:r>
      <w:r w:rsidR="00C30F9C" w:rsidRPr="00C30F9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области.</w:t>
      </w:r>
    </w:p>
    <w:sectPr w:rsidR="007A1515" w:rsidRPr="006E2DBD" w:rsidSect="009010A9">
      <w:headerReference w:type="default" r:id="rId6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78" w:rsidRDefault="00567178" w:rsidP="007E2A95">
      <w:pPr>
        <w:spacing w:after="0" w:line="240" w:lineRule="auto"/>
      </w:pPr>
      <w:r>
        <w:separator/>
      </w:r>
    </w:p>
  </w:endnote>
  <w:endnote w:type="continuationSeparator" w:id="0">
    <w:p w:rsidR="00567178" w:rsidRDefault="00567178" w:rsidP="007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78" w:rsidRDefault="00567178" w:rsidP="007E2A95">
      <w:pPr>
        <w:spacing w:after="0" w:line="240" w:lineRule="auto"/>
      </w:pPr>
      <w:r>
        <w:separator/>
      </w:r>
    </w:p>
  </w:footnote>
  <w:footnote w:type="continuationSeparator" w:id="0">
    <w:p w:rsidR="00567178" w:rsidRDefault="00567178" w:rsidP="007E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366834216"/>
      <w:docPartObj>
        <w:docPartGallery w:val="Page Numbers (Top of Page)"/>
        <w:docPartUnique/>
      </w:docPartObj>
    </w:sdtPr>
    <w:sdtEndPr/>
    <w:sdtContent>
      <w:p w:rsidR="009C6F35" w:rsidRPr="00783FC9" w:rsidRDefault="007841E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3F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3F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3F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3F7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83F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95"/>
    <w:rsid w:val="000E41AA"/>
    <w:rsid w:val="00116D66"/>
    <w:rsid w:val="00145001"/>
    <w:rsid w:val="001A785E"/>
    <w:rsid w:val="001D2D70"/>
    <w:rsid w:val="00262BA3"/>
    <w:rsid w:val="00263F70"/>
    <w:rsid w:val="002A7DA2"/>
    <w:rsid w:val="00430E33"/>
    <w:rsid w:val="004B2FE5"/>
    <w:rsid w:val="004C454F"/>
    <w:rsid w:val="00567178"/>
    <w:rsid w:val="005D5867"/>
    <w:rsid w:val="005E6319"/>
    <w:rsid w:val="006B45BF"/>
    <w:rsid w:val="006E2DBD"/>
    <w:rsid w:val="007841ED"/>
    <w:rsid w:val="007A1515"/>
    <w:rsid w:val="007E2A95"/>
    <w:rsid w:val="007E6AF1"/>
    <w:rsid w:val="0081385C"/>
    <w:rsid w:val="00831699"/>
    <w:rsid w:val="00833309"/>
    <w:rsid w:val="00864502"/>
    <w:rsid w:val="00872441"/>
    <w:rsid w:val="008C693A"/>
    <w:rsid w:val="008F426D"/>
    <w:rsid w:val="009010A9"/>
    <w:rsid w:val="0097471D"/>
    <w:rsid w:val="009E0431"/>
    <w:rsid w:val="00A01714"/>
    <w:rsid w:val="00AB36AA"/>
    <w:rsid w:val="00B2507B"/>
    <w:rsid w:val="00B47FE7"/>
    <w:rsid w:val="00B75C61"/>
    <w:rsid w:val="00B9543D"/>
    <w:rsid w:val="00BB778A"/>
    <w:rsid w:val="00C30F9C"/>
    <w:rsid w:val="00C72AE1"/>
    <w:rsid w:val="00CD42B0"/>
    <w:rsid w:val="00D11164"/>
    <w:rsid w:val="00D4088B"/>
    <w:rsid w:val="00D83F56"/>
    <w:rsid w:val="00D85610"/>
    <w:rsid w:val="00DA0AFE"/>
    <w:rsid w:val="00E40F09"/>
    <w:rsid w:val="00ED1C4A"/>
    <w:rsid w:val="00ED63CA"/>
    <w:rsid w:val="00F038A4"/>
    <w:rsid w:val="00F73949"/>
    <w:rsid w:val="00F740A9"/>
    <w:rsid w:val="00FF01FC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0EB7B-ACF2-4BDC-A4BB-3EAC383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2A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2A95"/>
    <w:rPr>
      <w:sz w:val="20"/>
      <w:szCs w:val="20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qFormat/>
    <w:rsid w:val="007E2A9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A95"/>
  </w:style>
  <w:style w:type="paragraph" w:styleId="a8">
    <w:name w:val="Balloon Text"/>
    <w:basedOn w:val="a"/>
    <w:link w:val="a9"/>
    <w:uiPriority w:val="99"/>
    <w:semiHidden/>
    <w:unhideWhenUsed/>
    <w:rsid w:val="00FF01F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1FC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Кузнецова Ольга Николаевна</cp:lastModifiedBy>
  <cp:revision>2</cp:revision>
  <cp:lastPrinted>2020-06-30T06:09:00Z</cp:lastPrinted>
  <dcterms:created xsi:type="dcterms:W3CDTF">2020-06-30T10:07:00Z</dcterms:created>
  <dcterms:modified xsi:type="dcterms:W3CDTF">2020-06-30T10:07:00Z</dcterms:modified>
</cp:coreProperties>
</file>